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Закупівля комплекту приводів для розпашних двостулкових дверей зі встановленням за кодом CPV за ЄЗС ДК 021:2015: 31720000-9 Електромеханічне обладнання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UA-2024-09-11-004312-а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bCs/>
          <w:sz w:val="24"/>
          <w:szCs w:val="24"/>
        </w:rPr>
        <w:t>Закупівля комплекту приводів для розпашних двостулкових дверей зі встановленням за кодом CPV за ЄЗС ДК 021:2015: 31720000-9 Електромеханічне обладнання</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5671"/>
        <w:gridCol w:w="1700"/>
        <w:gridCol w:w="1701"/>
      </w:tblGrid>
      <w:tr>
        <w:trPr/>
        <w:tc>
          <w:tcPr>
            <w:tcW w:w="561" w:type="dxa"/>
            <w:tcBorders/>
          </w:tcPr>
          <w:p>
            <w:pPr>
              <w:pStyle w:val="NormalWeb"/>
              <w:widowControl/>
              <w:spacing w:lineRule="auto" w:line="240" w:before="0" w:after="0"/>
              <w:jc w:val="center"/>
              <w:rPr>
                <w:b/>
                <w:b/>
                <w:bCs/>
              </w:rPr>
            </w:pPr>
            <w:bookmarkStart w:id="0" w:name="_Hlk173497941"/>
            <w:r>
              <w:rPr>
                <w:rFonts w:eastAsia="Calibri"/>
                <w:b/>
                <w:bCs/>
                <w:kern w:val="0"/>
                <w:lang w:eastAsia="en-US" w:bidi="ar-SA"/>
              </w:rPr>
              <w:t xml:space="preserve">№ </w:t>
            </w:r>
            <w:r>
              <w:rPr>
                <w:rFonts w:eastAsia="Calibri"/>
                <w:b/>
                <w:bCs/>
                <w:kern w:val="0"/>
                <w:lang w:eastAsia="en-US" w:bidi="ar-SA"/>
              </w:rPr>
              <w:t>п/п</w:t>
            </w:r>
          </w:p>
        </w:tc>
        <w:tc>
          <w:tcPr>
            <w:tcW w:w="5671" w:type="dxa"/>
            <w:tcBorders/>
          </w:tcPr>
          <w:p>
            <w:pPr>
              <w:pStyle w:val="NormalWeb"/>
              <w:widowControl/>
              <w:spacing w:lineRule="auto" w:line="240" w:before="0" w:after="0"/>
              <w:jc w:val="center"/>
              <w:rPr>
                <w:b/>
                <w:b/>
                <w:bCs/>
              </w:rPr>
            </w:pPr>
            <w:r>
              <w:rPr>
                <w:rFonts w:eastAsia="Calibri"/>
                <w:b/>
                <w:bCs/>
                <w:kern w:val="0"/>
                <w:lang w:eastAsia="en-US" w:bidi="ar-SA"/>
              </w:rPr>
              <w:t>Назва системи</w:t>
            </w:r>
          </w:p>
        </w:tc>
        <w:tc>
          <w:tcPr>
            <w:tcW w:w="1700" w:type="dxa"/>
            <w:tcBorders/>
          </w:tcPr>
          <w:p>
            <w:pPr>
              <w:pStyle w:val="NormalWeb"/>
              <w:widowControl/>
              <w:spacing w:lineRule="auto" w:line="240" w:before="0" w:after="0"/>
              <w:jc w:val="center"/>
              <w:rPr>
                <w:b/>
                <w:b/>
                <w:bCs/>
              </w:rPr>
            </w:pPr>
            <w:r>
              <w:rPr>
                <w:rFonts w:eastAsia="Calibri"/>
                <w:b/>
                <w:bCs/>
                <w:kern w:val="0"/>
                <w:lang w:eastAsia="en-US" w:bidi="ar-SA"/>
              </w:rPr>
              <w:t>Одиниця виміру</w:t>
            </w:r>
          </w:p>
        </w:tc>
        <w:tc>
          <w:tcPr>
            <w:tcW w:w="1701" w:type="dxa"/>
            <w:tcBorders/>
          </w:tcPr>
          <w:p>
            <w:pPr>
              <w:pStyle w:val="NormalWeb"/>
              <w:widowControl/>
              <w:spacing w:lineRule="auto" w:line="240" w:before="0" w:after="0"/>
              <w:jc w:val="center"/>
              <w:rPr>
                <w:b/>
                <w:b/>
                <w:bCs/>
              </w:rPr>
            </w:pPr>
            <w:r>
              <w:rPr>
                <w:rFonts w:eastAsia="Calibri"/>
                <w:b/>
                <w:bCs/>
                <w:kern w:val="0"/>
                <w:lang w:eastAsia="en-US" w:bidi="ar-SA"/>
              </w:rPr>
              <w:t>Кількість</w:t>
            </w:r>
          </w:p>
        </w:tc>
      </w:tr>
      <w:tr>
        <w:trPr/>
        <w:tc>
          <w:tcPr>
            <w:tcW w:w="561" w:type="dxa"/>
            <w:tcBorders/>
            <w:vAlign w:val="center"/>
          </w:tcPr>
          <w:p>
            <w:pPr>
              <w:pStyle w:val="NormalWeb"/>
              <w:widowControl/>
              <w:spacing w:lineRule="auto" w:line="240" w:before="0" w:after="0"/>
              <w:jc w:val="center"/>
              <w:rPr>
                <w:b/>
                <w:b/>
                <w:bCs/>
              </w:rPr>
            </w:pPr>
            <w:r>
              <w:rPr>
                <w:rFonts w:eastAsia="Calibri"/>
                <w:kern w:val="0"/>
                <w:lang w:eastAsia="en-US" w:bidi="ar-SA"/>
              </w:rPr>
              <w:t>1</w:t>
            </w:r>
          </w:p>
        </w:tc>
        <w:tc>
          <w:tcPr>
            <w:tcW w:w="5671" w:type="dxa"/>
            <w:tcBorders/>
          </w:tcPr>
          <w:p>
            <w:pPr>
              <w:pStyle w:val="NormalWeb"/>
              <w:widowControl/>
              <w:spacing w:lineRule="auto" w:line="240" w:before="0" w:after="0"/>
              <w:jc w:val="left"/>
              <w:rPr>
                <w:b/>
                <w:b/>
                <w:bCs/>
              </w:rPr>
            </w:pPr>
            <w:r>
              <w:rPr>
                <w:rFonts w:eastAsia="Calibri"/>
                <w:b/>
                <w:bCs/>
                <w:kern w:val="2"/>
                <w:lang w:eastAsia="en-US" w:bidi="ar-SA"/>
                <w14:ligatures w14:val="standardContextual"/>
              </w:rPr>
              <w:t>Привід для розпашних двостулкових дверей</w:t>
            </w:r>
          </w:p>
        </w:tc>
        <w:tc>
          <w:tcPr>
            <w:tcW w:w="1700" w:type="dxa"/>
            <w:tcBorders/>
            <w:vAlign w:val="center"/>
          </w:tcPr>
          <w:p>
            <w:pPr>
              <w:pStyle w:val="NormalWeb"/>
              <w:widowControl/>
              <w:spacing w:lineRule="auto" w:line="240" w:before="0" w:after="0"/>
              <w:jc w:val="center"/>
              <w:rPr>
                <w:b/>
                <w:b/>
                <w:bCs/>
              </w:rPr>
            </w:pPr>
            <w:r>
              <w:rPr>
                <w:rFonts w:eastAsia="Calibri"/>
                <w:color w:val="000000"/>
                <w:kern w:val="0"/>
                <w:lang w:eastAsia="en-US" w:bidi="ar-SA"/>
              </w:rPr>
              <w:t>Комплект</w:t>
            </w:r>
          </w:p>
        </w:tc>
        <w:tc>
          <w:tcPr>
            <w:tcW w:w="1701" w:type="dxa"/>
            <w:tcBorders/>
            <w:vAlign w:val="center"/>
          </w:tcPr>
          <w:p>
            <w:pPr>
              <w:pStyle w:val="NormalWeb"/>
              <w:widowControl/>
              <w:spacing w:lineRule="auto" w:line="240" w:before="0" w:after="0"/>
              <w:jc w:val="center"/>
              <w:rPr>
                <w:b/>
                <w:b/>
                <w:bCs/>
              </w:rPr>
            </w:pPr>
            <w:bookmarkStart w:id="1" w:name="_Hlk173497941"/>
            <w:r>
              <w:rPr>
                <w:rFonts w:eastAsia="Calibri"/>
                <w:kern w:val="0"/>
                <w:lang w:eastAsia="en-US" w:bidi="ar-SA"/>
              </w:rPr>
              <w:t>1</w:t>
            </w:r>
            <w:bookmarkEnd w:id="1"/>
          </w:p>
        </w:tc>
      </w:tr>
    </w:tbl>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jc w:val="both"/>
        <w:rPr>
          <w:b/>
          <w:b/>
          <w:bCs/>
          <w:i/>
          <w:i/>
          <w:iCs/>
          <w:lang w:eastAsia="ru-RU"/>
        </w:rPr>
      </w:pPr>
      <w:r>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проєкту Договору до моменту його повного завершення</w:t>
      </w:r>
      <w:r>
        <w:rPr>
          <w:b/>
          <w:bCs/>
          <w:i/>
          <w:iCs/>
        </w:rPr>
        <w:t>; монтаж, встановлення, доставка на об’єкті замовника, первинна перевірка та введення в експлуатацію товару, що виготовляється відповідно до зазначених послуг.</w:t>
      </w:r>
    </w:p>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ind w:firstLine="567"/>
        <w:jc w:val="both"/>
        <w:rPr>
          <w:color w:val="000000" w:themeColor="text1"/>
          <w:shd w:fill="FFFFFF" w:val="clear"/>
        </w:rPr>
      </w:pPr>
      <w:bookmarkStart w:id="2" w:name="_Hlk173499091"/>
      <w:bookmarkStart w:id="3" w:name="_Hlk131598067"/>
      <w:r>
        <w:rPr>
          <w:color w:val="000000" w:themeColor="text1"/>
          <w:shd w:fill="FFFFFF" w:val="clear"/>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pPr>
        <w:pStyle w:val="Normal"/>
        <w:spacing w:lineRule="auto" w:line="240" w:before="0" w:after="0"/>
        <w:ind w:firstLine="567"/>
        <w:jc w:val="both"/>
        <w:rPr>
          <w:rFonts w:ascii="Times New Roman" w:hAnsi="Times New Roman" w:cs="Times New Roman"/>
          <w:color w:val="000000" w:themeColor="text1"/>
          <w:sz w:val="24"/>
          <w:szCs w:val="24"/>
          <w:shd w:fill="FFFFFF" w:val="clear"/>
        </w:rPr>
      </w:pPr>
      <w:r>
        <w:rPr>
          <w:rFonts w:cs="Times New Roman" w:ascii="Times New Roman" w:hAnsi="Times New Roman"/>
          <w:color w:val="000000" w:themeColor="text1"/>
          <w:sz w:val="24"/>
          <w:szCs w:val="24"/>
          <w:shd w:fill="FFFFFF" w:val="clear"/>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pPr>
        <w:pStyle w:val="Normal"/>
        <w:spacing w:lineRule="auto" w:line="240" w:before="0" w:after="0"/>
        <w:ind w:firstLine="567"/>
        <w:jc w:val="both"/>
        <w:rPr>
          <w:rFonts w:ascii="Times New Roman" w:hAnsi="Times New Roman" w:cs="Times New Roman"/>
          <w:color w:val="000000" w:themeColor="text1"/>
          <w:sz w:val="24"/>
          <w:szCs w:val="24"/>
          <w:shd w:fill="FFFFFF" w:val="clear"/>
        </w:rPr>
      </w:pPr>
      <w:r>
        <w:rPr>
          <w:rFonts w:cs="Times New Roman" w:ascii="Times New Roman" w:hAnsi="Times New Roman"/>
          <w:color w:val="000000" w:themeColor="text1"/>
          <w:sz w:val="24"/>
          <w:szCs w:val="24"/>
          <w:shd w:fill="FFFFFF" w:val="clear"/>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color w:val="000000" w:themeColor="text1"/>
          <w:sz w:val="24"/>
          <w:szCs w:val="24"/>
          <w:shd w:fill="FFFFFF" w:val="clear"/>
        </w:rPr>
        <w:t xml:space="preserve">4. </w:t>
      </w:r>
      <w:r>
        <w:rPr>
          <w:rFonts w:cs="Times New Roman" w:ascii="Times New Roman" w:hAnsi="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pPr>
        <w:pStyle w:val="Normal"/>
        <w:spacing w:lineRule="auto" w:line="240" w:before="0" w:after="0"/>
        <w:ind w:firstLine="567"/>
        <w:jc w:val="both"/>
        <w:rPr>
          <w:rFonts w:ascii="Times New Roman" w:hAnsi="Times New Roman" w:cs="Times New Roman"/>
          <w:sz w:val="24"/>
          <w:szCs w:val="24"/>
        </w:rPr>
      </w:pPr>
      <w:bookmarkStart w:id="4" w:name="_Hlk131598067"/>
      <w:r>
        <w:rPr>
          <w:rFonts w:cs="Times New Roman" w:ascii="Times New Roman" w:hAnsi="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5" w:name="_Hlk131682113"/>
      <w:bookmarkEnd w:id="4"/>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6. Надати у складі пропозиції </w:t>
      </w:r>
      <w:r>
        <w:rPr>
          <w:rFonts w:cs="Times New Roman" w:ascii="Times New Roman" w:hAnsi="Times New Roman"/>
          <w:color w:val="000000" w:themeColor="text1"/>
          <w:sz w:val="24"/>
          <w:szCs w:val="24"/>
        </w:rPr>
        <w:t xml:space="preserve">копію чинної ліцензії </w:t>
      </w:r>
      <w:r>
        <w:rPr>
          <w:rFonts w:cs="Times New Roman" w:ascii="Times New Roman" w:hAnsi="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5"/>
    </w:p>
    <w:p>
      <w:pPr>
        <w:pStyle w:val="Normal"/>
        <w:spacing w:lineRule="auto" w:line="240" w:before="0" w:after="0"/>
        <w:ind w:firstLine="567"/>
        <w:jc w:val="both"/>
        <w:rPr>
          <w:rFonts w:ascii="Times New Roman" w:hAnsi="Times New Roman" w:cs="Times New Roman"/>
          <w:sz w:val="24"/>
          <w:szCs w:val="24"/>
        </w:rPr>
      </w:pPr>
      <w:bookmarkStart w:id="6" w:name="_Hlk173499091"/>
      <w:r>
        <w:rPr>
          <w:rFonts w:cs="Times New Roman" w:ascii="Times New Roman" w:hAnsi="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bookmarkEnd w:id="6"/>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4" w:firstLine="538"/>
        <w:jc w:val="both"/>
        <w:rPr>
          <w:rFonts w:ascii="Times New Roman" w:hAnsi="Times New Roman" w:cs="Times New Roman"/>
          <w:sz w:val="24"/>
          <w:szCs w:val="24"/>
        </w:rPr>
      </w:pPr>
      <w:r>
        <w:rPr>
          <w:rFonts w:cs="Times New Roman" w:ascii="Times New Roman" w:hAnsi="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before="0" w:after="0"/>
        <w:ind w:left="14" w:firstLine="538"/>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14" w:firstLine="538"/>
        <w:jc w:val="center"/>
        <w:rPr>
          <w:rFonts w:ascii="Times New Roman" w:hAnsi="Times New Roman" w:cs="Times New Roman"/>
          <w:b/>
          <w:b/>
          <w:sz w:val="24"/>
          <w:szCs w:val="24"/>
        </w:rPr>
      </w:pPr>
      <w:r>
        <w:rPr>
          <w:rFonts w:cs="Times New Roman" w:ascii="Times New Roman" w:hAnsi="Times New Roman"/>
          <w:b/>
          <w:sz w:val="24"/>
          <w:szCs w:val="24"/>
        </w:rPr>
        <w:t>Таблиця відповідності</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10031"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997"/>
        <w:gridCol w:w="2928"/>
        <w:gridCol w:w="3162"/>
        <w:gridCol w:w="2943"/>
      </w:tblGrid>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з/п</w:t>
            </w:r>
          </w:p>
        </w:tc>
        <w:tc>
          <w:tcPr>
            <w:tcW w:w="2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Опис технічних вимог, які  пропонуються Учасником</w:t>
            </w:r>
          </w:p>
        </w:tc>
      </w:tr>
    </w:tbl>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Товар повинен відповідати вимогам:</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Закону України від 14.08.2014р. № 1644-VІІ «Про санкції»,</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t>СПЕЦИФІКАЦІЯ:</w:t>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r>
    </w:p>
    <w:tbl>
      <w:tblPr>
        <w:tblW w:w="5000" w:type="pct"/>
        <w:jc w:val="left"/>
        <w:tblInd w:w="-6" w:type="dxa"/>
        <w:tblLayout w:type="fixed"/>
        <w:tblCellMar>
          <w:top w:w="0" w:type="dxa"/>
          <w:left w:w="108" w:type="dxa"/>
          <w:bottom w:w="0" w:type="dxa"/>
          <w:right w:w="108" w:type="dxa"/>
        </w:tblCellMar>
        <w:tblLook w:val="04a0" w:noHBand="0" w:noVBand="1" w:firstColumn="1" w:lastRow="0" w:lastColumn="0" w:firstRow="1"/>
      </w:tblPr>
      <w:tblGrid>
        <w:gridCol w:w="660"/>
        <w:gridCol w:w="5718"/>
        <w:gridCol w:w="1842"/>
        <w:gridCol w:w="1416"/>
      </w:tblGrid>
      <w:tr>
        <w:trPr>
          <w:trHeight w:val="300"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з/п</w:t>
            </w:r>
          </w:p>
        </w:tc>
        <w:tc>
          <w:tcPr>
            <w:tcW w:w="571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lang w:eastAsia="uk-UA"/>
              </w:rPr>
            </w:pPr>
            <w:r>
              <w:rPr>
                <w:rFonts w:cs="Times New Roman" w:ascii="Times New Roman" w:hAnsi="Times New Roman"/>
                <w:b/>
                <w:bCs/>
                <w:sz w:val="24"/>
                <w:szCs w:val="24"/>
                <w:lang w:eastAsia="uk-UA"/>
              </w:rPr>
              <w:t>Назва</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lang w:eastAsia="uk-UA"/>
              </w:rPr>
            </w:pPr>
            <w:r>
              <w:rPr>
                <w:rFonts w:cs="Times New Roman" w:ascii="Times New Roman" w:hAnsi="Times New Roman"/>
                <w:b/>
                <w:bCs/>
                <w:sz w:val="24"/>
                <w:szCs w:val="24"/>
                <w:lang w:eastAsia="uk-UA"/>
              </w:rPr>
              <w:t>Одиниця виміру</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113" w:hanging="0"/>
              <w:rPr>
                <w:rFonts w:ascii="Times New Roman" w:hAnsi="Times New Roman" w:cs="Times New Roman"/>
                <w:b/>
                <w:b/>
                <w:bCs/>
                <w:sz w:val="24"/>
                <w:szCs w:val="24"/>
                <w:lang w:eastAsia="uk-UA"/>
              </w:rPr>
            </w:pPr>
            <w:r>
              <w:rPr>
                <w:rFonts w:cs="Times New Roman" w:ascii="Times New Roman" w:hAnsi="Times New Roman"/>
                <w:b/>
                <w:bCs/>
                <w:sz w:val="24"/>
                <w:szCs w:val="24"/>
                <w:lang w:eastAsia="uk-UA"/>
              </w:rPr>
              <w:t>Кіл-ть</w:t>
            </w:r>
          </w:p>
        </w:tc>
      </w:tr>
      <w:tr>
        <w:trPr>
          <w:trHeight w:val="300"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color w:val="000000"/>
                <w:sz w:val="24"/>
                <w:szCs w:val="24"/>
                <w:lang w:eastAsia="uk-UA"/>
              </w:rPr>
            </w:pPr>
            <w:r>
              <w:rPr>
                <w:rFonts w:cs="Times New Roman" w:ascii="Times New Roman" w:hAnsi="Times New Roman"/>
                <w:b/>
                <w:bCs/>
                <w:sz w:val="24"/>
                <w:szCs w:val="24"/>
              </w:rPr>
              <w:t>1</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bCs/>
                <w:sz w:val="24"/>
                <w:szCs w:val="24"/>
                <w:lang w:eastAsia="uk-UA"/>
              </w:rPr>
            </w:pPr>
            <w:r>
              <w:rPr>
                <w:rFonts w:cs="Times New Roman" w:ascii="Times New Roman" w:hAnsi="Times New Roman"/>
                <w:b/>
                <w:bCs/>
                <w:kern w:val="2"/>
                <w:sz w:val="24"/>
                <w:szCs w:val="24"/>
                <w14:ligatures w14:val="standardContextual"/>
              </w:rPr>
              <w:t>Привід для розпашних двостулкових дверей (</w:t>
            </w:r>
            <w:r>
              <w:rPr>
                <w:rFonts w:cs="Times New Roman" w:ascii="Times New Roman" w:hAnsi="Times New Roman"/>
                <w:b/>
                <w:bCs/>
                <w:sz w:val="24"/>
                <w:szCs w:val="24"/>
              </w:rPr>
              <w:t xml:space="preserve">Автоматичні приводи </w:t>
            </w:r>
            <w:r>
              <w:rPr>
                <w:rFonts w:cs="Times New Roman" w:ascii="Times New Roman" w:hAnsi="Times New Roman"/>
                <w:b/>
                <w:bCs/>
                <w:sz w:val="24"/>
                <w:szCs w:val="24"/>
                <w:lang w:val="en-US"/>
              </w:rPr>
              <w:t>TORMAX</w:t>
            </w:r>
            <w:r>
              <w:rPr>
                <w:rFonts w:cs="Times New Roman" w:ascii="Times New Roman" w:hAnsi="Times New Roman"/>
                <w:b/>
                <w:bCs/>
                <w:sz w:val="24"/>
                <w:szCs w:val="24"/>
              </w:rPr>
              <w:t xml:space="preserve"> 1201 або аналог для двостулкових розпашних зовнішніх дверей зі встановленням)</w:t>
            </w:r>
            <w:r>
              <w:rPr>
                <w:rFonts w:cs="Times New Roman" w:ascii="Times New Roman" w:hAnsi="Times New Roman"/>
                <w:b/>
                <w:bCs/>
                <w:kern w:val="2"/>
                <w:sz w:val="24"/>
                <w:szCs w:val="24"/>
                <w14:ligatures w14:val="standardContextual"/>
              </w:rPr>
              <w:t xml:space="preserve">, </w:t>
            </w:r>
            <w:r>
              <w:rPr>
                <w:rFonts w:cs="Times New Roman" w:ascii="Times New Roman" w:hAnsi="Times New Roman"/>
                <w:i/>
                <w:iCs/>
                <w:kern w:val="2"/>
                <w:sz w:val="24"/>
                <w:szCs w:val="24"/>
                <w14:ligatures w14:val="standardContextual"/>
              </w:rPr>
              <w:t>у складі:</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t>Комплект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lang w:eastAsia="uk-UA"/>
              </w:rPr>
            </w:pPr>
            <w:r>
              <w:rPr>
                <w:rFonts w:cs="Times New Roman" w:ascii="Times New Roman" w:hAnsi="Times New Roman"/>
                <w:b/>
                <w:bCs/>
                <w:sz w:val="24"/>
                <w:szCs w:val="24"/>
              </w:rPr>
              <w:t>1</w:t>
            </w:r>
          </w:p>
        </w:tc>
      </w:tr>
      <w:tr>
        <w:trPr>
          <w:trHeight w:val="300"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sz w:val="24"/>
                <w:szCs w:val="24"/>
              </w:rPr>
              <w:t>1.1</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bCs/>
                <w:color w:val="000000"/>
                <w:sz w:val="24"/>
                <w:szCs w:val="24"/>
              </w:rPr>
            </w:pPr>
            <w:r>
              <w:rPr>
                <w:rFonts w:eastAsia="Calibri" w:cs="Times New Roman" w:ascii="Times New Roman" w:hAnsi="Times New Roman"/>
                <w:sz w:val="24"/>
                <w:szCs w:val="24"/>
              </w:rPr>
              <w:t xml:space="preserve">Базовий набір </w:t>
            </w:r>
            <w:r>
              <w:rPr>
                <w:rFonts w:eastAsia="Calibri" w:cs="Times New Roman" w:ascii="Times New Roman" w:hAnsi="Times New Roman"/>
                <w:sz w:val="24"/>
                <w:szCs w:val="24"/>
                <w:lang w:val="en-US"/>
              </w:rPr>
              <w:t>TORMAX</w:t>
            </w:r>
            <w:r>
              <w:rPr>
                <w:rFonts w:eastAsia="Calibri" w:cs="Times New Roman" w:ascii="Times New Roman" w:hAnsi="Times New Roman"/>
                <w:sz w:val="24"/>
                <w:szCs w:val="24"/>
              </w:rPr>
              <w:t xml:space="preserve"> 1201 або аналог</w:t>
            </w:r>
            <w:r>
              <w:rPr>
                <w:rFonts w:eastAsia="Calibri" w:cs="Times New Roman" w:ascii="Times New Roman" w:hAnsi="Times New Roman"/>
                <w:i/>
                <w:sz w:val="24"/>
                <w:szCs w:val="24"/>
              </w:rPr>
              <w:tab/>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1.2</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bCs/>
                <w:sz w:val="24"/>
                <w:szCs w:val="24"/>
              </w:rPr>
            </w:pPr>
            <w:r>
              <w:rPr>
                <w:rFonts w:eastAsia="Calibri" w:cs="Times New Roman" w:ascii="Times New Roman" w:hAnsi="Times New Roman"/>
                <w:sz w:val="24"/>
                <w:szCs w:val="24"/>
              </w:rPr>
              <w:t>Набір тяг (натискний важіль) 290 мм / 436 мм</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1.3</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bCs/>
                <w:sz w:val="24"/>
                <w:szCs w:val="24"/>
              </w:rPr>
            </w:pPr>
            <w:r>
              <w:rPr>
                <w:rFonts w:eastAsia="Calibri" w:cs="Times New Roman" w:ascii="Times New Roman" w:hAnsi="Times New Roman"/>
                <w:sz w:val="24"/>
                <w:szCs w:val="24"/>
              </w:rPr>
              <w:t>Привідний вал 82 мм</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1.4</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bCs/>
                <w:sz w:val="24"/>
                <w:szCs w:val="24"/>
              </w:rPr>
            </w:pPr>
            <w:r>
              <w:rPr>
                <w:rFonts w:eastAsia="Calibri" w:cs="Times New Roman" w:ascii="Times New Roman" w:hAnsi="Times New Roman"/>
                <w:sz w:val="24"/>
                <w:szCs w:val="24"/>
              </w:rPr>
              <w:t>Сенсор безпеки 4</w:t>
            </w:r>
            <w:r>
              <w:rPr>
                <w:rFonts w:eastAsia="Calibri" w:cs="Times New Roman" w:ascii="Times New Roman" w:hAnsi="Times New Roman"/>
                <w:sz w:val="24"/>
                <w:szCs w:val="24"/>
                <w:lang w:val="en-US"/>
              </w:rPr>
              <w:t>SAFE</w:t>
            </w:r>
            <w:r>
              <w:rPr>
                <w:rFonts w:eastAsia="Calibri" w:cs="Times New Roman" w:ascii="Times New Roman" w:hAnsi="Times New Roman"/>
                <w:sz w:val="24"/>
                <w:szCs w:val="24"/>
              </w:rPr>
              <w:t xml:space="preserve"> або аналог – 2 комп.: один на зачинення, один на відчинення рухомої стулки</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lang w:eastAsia="uk-UA"/>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1.5</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Модуль підвищення потужності</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1.6</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Модуль синхронізації </w:t>
            </w:r>
            <w:r>
              <w:rPr>
                <w:rFonts w:eastAsia="Calibri" w:cs="Times New Roman" w:ascii="Times New Roman" w:hAnsi="Times New Roman"/>
                <w:sz w:val="24"/>
                <w:szCs w:val="24"/>
                <w:lang w:val="en-US"/>
              </w:rPr>
              <w:t>Multidoor</w:t>
            </w:r>
            <w:r>
              <w:rPr>
                <w:rFonts w:eastAsia="Calibri" w:cs="Times New Roman" w:ascii="Times New Roman" w:hAnsi="Times New Roman"/>
                <w:i/>
                <w:sz w:val="24"/>
                <w:szCs w:val="24"/>
              </w:rPr>
              <w:t xml:space="preserve"> </w:t>
            </w:r>
            <w:r>
              <w:rPr>
                <w:rFonts w:eastAsia="Calibri" w:cs="Times New Roman" w:ascii="Times New Roman" w:hAnsi="Times New Roman"/>
                <w:sz w:val="24"/>
                <w:szCs w:val="24"/>
              </w:rPr>
              <w:t>або аналог</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1.7</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Перемикач режимів роботи трьохпозиційний</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2</w:t>
            </w:r>
          </w:p>
        </w:tc>
      </w:tr>
      <w:tr>
        <w:trPr>
          <w:trHeight w:val="286"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1.8</w:t>
            </w:r>
          </w:p>
        </w:tc>
        <w:tc>
          <w:tcPr>
            <w:tcW w:w="5718"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Модуль зовнішніх дверей</w:t>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шт.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2</w:t>
            </w:r>
          </w:p>
        </w:tc>
      </w:tr>
    </w:tbl>
    <w:p>
      <w:pPr>
        <w:pStyle w:val="Normal"/>
        <w:tabs>
          <w:tab w:val="clear" w:pos="708"/>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Normal"/>
        <w:tabs>
          <w:tab w:val="clear" w:pos="708"/>
          <w:tab w:val="left" w:pos="567" w:leader="none"/>
        </w:tabs>
        <w:overflowPunct w:val="true"/>
        <w:spacing w:lineRule="auto" w:line="240" w:before="0" w:after="0"/>
        <w:ind w:right="-1" w:firstLine="567"/>
        <w:contextualSpacing/>
        <w:jc w:val="both"/>
        <w:textAlignment w:val="baseline"/>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pPr>
        <w:pStyle w:val="Normal"/>
        <w:tabs>
          <w:tab w:val="clear" w:pos="708"/>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s="Times New Roman"/>
          <w:bCs/>
          <w:color w:val="000000" w:themeColor="text1"/>
          <w:sz w:val="24"/>
          <w:szCs w:val="24"/>
        </w:rPr>
      </w:pPr>
      <w:r>
        <w:rPr>
          <w:rFonts w:cs="Times New Roman" w:ascii="Times New Roman" w:hAnsi="Times New Roman"/>
          <w:bCs/>
          <w:iCs/>
          <w:color w:val="000000" w:themeColor="text1"/>
          <w:sz w:val="24"/>
          <w:szCs w:val="24"/>
          <w:shd w:fill="FFFFFF" w:val="clear"/>
        </w:rPr>
        <w:t xml:space="preserve">Під «аналогом» розуміється аналогічний Товар (рівноцінний і рівнозначний), який повністю відповідає </w:t>
      </w:r>
      <w:r>
        <w:rPr>
          <w:rFonts w:cs="Times New Roman" w:ascii="Times New Roman" w:hAnsi="Times New Roman"/>
          <w:bCs/>
          <w:color w:val="000000" w:themeColor="text1"/>
          <w:sz w:val="24"/>
          <w:szCs w:val="24"/>
        </w:rPr>
        <w:t>технічним та якісним характеристикам,</w:t>
      </w:r>
      <w:r>
        <w:rPr>
          <w:rFonts w:cs="Times New Roman" w:ascii="Times New Roman" w:hAnsi="Times New Roman"/>
          <w:bCs/>
          <w:iCs/>
          <w:color w:val="000000" w:themeColor="text1"/>
          <w:sz w:val="24"/>
          <w:szCs w:val="24"/>
          <w:shd w:fill="FFFFFF" w:val="clear"/>
        </w:rPr>
        <w:t xml:space="preserve"> </w:t>
      </w:r>
      <w:r>
        <w:rPr>
          <w:rFonts w:cs="Times New Roman" w:ascii="Times New Roman" w:hAnsi="Times New Roman"/>
          <w:bCs/>
          <w:color w:val="000000" w:themeColor="text1"/>
          <w:sz w:val="24"/>
          <w:szCs w:val="24"/>
        </w:rPr>
        <w:t xml:space="preserve">зазначеним </w:t>
      </w:r>
      <w:r>
        <w:rPr>
          <w:rFonts w:cs="Times New Roman" w:ascii="Times New Roman" w:hAnsi="Times New Roman"/>
          <w:bCs/>
          <w:iCs/>
          <w:color w:val="000000" w:themeColor="text1"/>
          <w:sz w:val="24"/>
          <w:szCs w:val="24"/>
          <w:shd w:fill="FFFFFF" w:val="clear"/>
        </w:rPr>
        <w:t xml:space="preserve">у Специфікації. </w:t>
      </w:r>
      <w:r>
        <w:rPr>
          <w:rFonts w:cs="Times New Roman" w:ascii="Times New Roman" w:hAnsi="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pPr>
        <w:pStyle w:val="Norma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b/>
          <w:b/>
          <w:bCs/>
          <w:sz w:val="24"/>
          <w:szCs w:val="24"/>
        </w:rPr>
      </w:pPr>
      <w:r>
        <w:rPr>
          <w:rFonts w:cs="Times New Roman" w:ascii="Times New Roman" w:hAnsi="Times New Roman"/>
          <w:b/>
          <w:bCs/>
          <w:sz w:val="24"/>
          <w:szCs w:val="24"/>
        </w:rPr>
        <w:t>Технічні характеристики: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Максимальна вага стулки: 250 кг при ширині в 0,9 м</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Максимальна ширина стулки: 1,4 м при вазі 100 кг</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Вітрове навантаження: до 60 км/год</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 xml:space="preserve">Живлення: 230 </w:t>
      </w:r>
      <w:r>
        <w:rPr>
          <w:rFonts w:cs="Times New Roman" w:ascii="Times New Roman" w:hAnsi="Times New Roman"/>
          <w:sz w:val="24"/>
          <w:szCs w:val="24"/>
          <w:lang w:val="en-US"/>
        </w:rPr>
        <w:t>V</w:t>
      </w:r>
      <w:r>
        <w:rPr>
          <w:rFonts w:cs="Times New Roman" w:ascii="Times New Roman" w:hAnsi="Times New Roman"/>
          <w:sz w:val="24"/>
          <w:szCs w:val="24"/>
        </w:rPr>
        <w:t xml:space="preserve"> / 50 </w:t>
      </w:r>
      <w:r>
        <w:rPr>
          <w:rFonts w:cs="Times New Roman" w:ascii="Times New Roman" w:hAnsi="Times New Roman"/>
          <w:sz w:val="24"/>
          <w:szCs w:val="24"/>
          <w:lang w:val="en-US"/>
        </w:rPr>
        <w:t>Hz</w:t>
      </w:r>
      <w:r>
        <w:rPr>
          <w:rFonts w:cs="Times New Roman" w:ascii="Times New Roman" w:hAnsi="Times New Roman"/>
          <w:sz w:val="24"/>
          <w:szCs w:val="24"/>
        </w:rPr>
        <w:t xml:space="preserve"> / 200 </w:t>
      </w:r>
      <w:r>
        <w:rPr>
          <w:rFonts w:cs="Times New Roman" w:ascii="Times New Roman" w:hAnsi="Times New Roman"/>
          <w:sz w:val="24"/>
          <w:szCs w:val="24"/>
          <w:lang w:val="en-US"/>
        </w:rPr>
        <w:t>W</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 xml:space="preserve">Тип електродвигуна: </w:t>
      </w:r>
      <w:r>
        <w:rPr>
          <w:rFonts w:cs="Times New Roman" w:ascii="Times New Roman" w:hAnsi="Times New Roman"/>
          <w:sz w:val="24"/>
          <w:szCs w:val="24"/>
          <w:lang w:val="en-US"/>
        </w:rPr>
        <w:t>DC</w:t>
      </w:r>
      <w:r>
        <w:rPr>
          <w:rFonts w:cs="Times New Roman" w:ascii="Times New Roman" w:hAnsi="Times New Roman"/>
          <w:sz w:val="24"/>
          <w:szCs w:val="24"/>
        </w:rPr>
        <w:t xml:space="preserve"> з редуктором</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Габаритні розміри: 85 х 128 х 640 мм</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Зміна габаритних розмірів не допускається у зв’язку із конструктивними особливостями місця встановлення.</w:t>
      </w:r>
    </w:p>
    <w:p>
      <w:pPr>
        <w:pStyle w:val="Normal"/>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t>Матеріал алюміній/пластик</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uppressAutoHyphens w:val="true"/>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У разі, якщо Учасник не є виробником товару, то він повинен надати лист від виробника продукції або його офіційного представника (дистриб’ютора) на території України, який підтверджує представницькі (партнерські) повноваження учасника та засвідчує офіційні шляхи поставки товару в Україну. Такий документ має бути адресований Учаснику або Замовнику та бути підписаний уповноваженою особою виробника (офіційного представника (дистриб’ютора) в Україні), містити посилання на процедуру закупівлі (на номер і дату оприлюднення оголошення на веб-порталі Уповноваженого органу). У разі надання авторизаційного листа (або інших документів) від виробника (-ів) іноземною мовою, цей лист повинен супроводжуватись перекладом на українську мову.</w:t>
      </w:r>
    </w:p>
    <w:p>
      <w:pPr>
        <w:pStyle w:val="Norma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331 095,67 грн. (триста тридцять одна тисяча дев’яносто п’ять гривень 67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99"/>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99"/>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Application>Collabora_Office/22.05.20.1$Linux_X86_64 LibreOffice_project/bd9263bb6d0222e89e44fbff51d0d094dad8e281</Application>
  <AppVersion>15.0000</AppVersion>
  <Pages>3</Pages>
  <Words>1170</Words>
  <Characters>7767</Characters>
  <CharactersWithSpaces>8861</CharactersWithSpaces>
  <Paragraphs>91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2024-09-11T12:35:00Z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file>