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005489-а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транспортних засобів, що підлягають обов’язковому страхуванню цивільно-правової відповідальності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2268"/>
        <w:gridCol w:w="1417"/>
        <w:gridCol w:w="566"/>
        <w:gridCol w:w="851"/>
        <w:gridCol w:w="1276"/>
        <w:gridCol w:w="1276"/>
      </w:tblGrid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/>
          </w:tcPr>
          <w:p>
            <w:pPr>
              <w:ind w:left="-9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ind w:left="-9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23" w:right="-111" w:hanging="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Марка, модель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Ідентифікаційний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Реєстраційний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ТЗ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Рік випуску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5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реєстрації ТЗ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Об’єм</w:t>
            </w:r>
            <w:r/>
          </w:p>
          <w:p>
            <w:pPr>
              <w:ind w:left="-105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Двигуна 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</w:t>
            </w:r>
            <w:r/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1" w:hanging="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Passat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-105" w:right="-10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WVWZZZ3BZ5P022662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АА2789ХІ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</w:t>
            </w:r>
            <w:r/>
          </w:p>
        </w:tc>
      </w:tr>
      <w:tr>
        <w:trPr>
          <w:trHeight w:val="2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1" w:hanging="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437040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105" w:right="-106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43704040002851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4750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Технічні, якісні, кількісні та інші вимоги до предмета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 закупівлі - послуги зі страхування транспортних засобів.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Кількість страхових полісів - 2 шт.</w:t>
      </w:r>
      <w:r/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Строк дії страхового полюса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 xml:space="preserve"> 12 місяців з 01.05.2023 року</w:t>
      </w:r>
      <w:r/>
    </w:p>
    <w:p>
      <w:pPr>
        <w:ind w:firstLine="567"/>
        <w:jc w:val="both"/>
        <w:spacing w:after="0" w:line="240" w:lineRule="auto"/>
        <w:rPr>
          <w:rStyle w:val="676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Оформлення полісів </w:t>
      </w:r>
      <w:r>
        <w:rPr>
          <w:rFonts w:ascii="Times New Roman" w:hAnsi="Times New Roman" w:cs="Times New Roman"/>
          <w:sz w:val="24"/>
          <w:szCs w:val="24"/>
        </w:rPr>
        <w:t xml:space="preserve">обов’язкового страхування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франшизою 0 (нуль) гривень.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676"/>
          <w:rFonts w:ascii="Times New Roman" w:hAnsi="Times New Roman" w:cs="Times New Roman"/>
          <w:iCs/>
          <w:sz w:val="24"/>
          <w:szCs w:val="24"/>
        </w:rPr>
        <w:t xml:space="preserve">- Обов’язкове представництво страховика у м. Києві.</w:t>
      </w:r>
      <w:r/>
    </w:p>
    <w:p>
      <w:pPr>
        <w:ind w:left="56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Вимоги до Учасника: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Статутний капітал не нижче 100 млн. грн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Досвід страхування – не менше 10 років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Оцінка страхової компанії від Моторно-Транспортного Бюро України за 3 квартал 2022 року на рівні «високий» за показниками: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Загальна оцінка діяльності страховика;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Якість врегулювання збитків;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Рівень скарг від потерпілих та страхувальників.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Рівень виплат має бути не менше 40 % за 6 місяців 2022 року;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Входження в ТОП 10 страхових компаній України за показниками: «Страхові платежі» та «Страхові виплати»  по ОСЦПВВНТЗ за 6 місяців 2022 року.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Частка вимог за шкоду майну, врегульованих до 90 днів від дати ДТП до останньої виплати складає не менше 70%  за 3 квартал 2022 року згідно даних МТСБУ.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6 204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character" w:styleId="44">
    <w:name w:val="Footer Char"/>
    <w:basedOn w:val="663"/>
    <w:link w:val="672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lang w:val="uk-UA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2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62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62"/>
    <w:link w:val="67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paragraph" w:styleId="67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5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76" w:customStyle="1">
    <w:name w:val="xfm_93972720"/>
    <w:basedOn w:val="6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39</cp:revision>
  <dcterms:created xsi:type="dcterms:W3CDTF">2022-11-01T12:47:00Z</dcterms:created>
  <dcterms:modified xsi:type="dcterms:W3CDTF">2023-04-03T10:08:48Z</dcterms:modified>
</cp:coreProperties>
</file>