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color w:val="000000"/>
          <w:sz w:val="24"/>
          <w:szCs w:val="24"/>
        </w:rPr>
        <w:t xml:space="preserve">Послуги з експертного обстеження з наданням протоколів </w:t>
      </w:r>
      <w:r>
        <w:rPr>
          <w:b w:val="0"/>
          <w:bCs w:val="0"/>
          <w:color w:val="000000"/>
          <w:sz w:val="24"/>
          <w:szCs w:val="24"/>
        </w:rPr>
        <w:t xml:space="preserve">електровимірювань</w:t>
      </w:r>
      <w:r>
        <w:rPr>
          <w:b w:val="0"/>
          <w:bCs w:val="0"/>
          <w:color w:val="000000"/>
          <w:sz w:val="24"/>
          <w:szCs w:val="24"/>
        </w:rPr>
        <w:t xml:space="preserve"> (Ліфт) за кодом CPV за ЄЗС ДК 021:2015: 71630000-3 </w:t>
      </w:r>
      <w:r>
        <w:rPr>
          <w:b w:val="0"/>
          <w:bCs w:val="0"/>
          <w:sz w:val="24"/>
          <w:szCs w:val="24"/>
        </w:rPr>
        <w:t xml:space="preserve">Послуги з технічного огляду та </w:t>
      </w:r>
      <w:r>
        <w:rPr>
          <w:b w:val="0"/>
          <w:bCs w:val="0"/>
          <w:sz w:val="24"/>
          <w:szCs w:val="24"/>
        </w:rPr>
        <w:t xml:space="preserve">випробовувань</w:t>
      </w:r>
      <w:r>
        <w:rPr>
          <w:b w:val="0"/>
          <w:bCs w:val="0"/>
          <w:color w:val="00000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004980</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bookmarkStart w:id="0" w:name="_Hlk131760739"/>
      <w:r>
        <w:rPr>
          <w:rFonts w:ascii="Times New Roman" w:hAnsi="Times New Roman"/>
          <w:color w:val="000000"/>
          <w:sz w:val="24"/>
          <w:szCs w:val="24"/>
        </w:rPr>
        <w:t xml:space="preserve">Послуги з експертного обстеження з наданням протоколів </w:t>
      </w:r>
      <w:r>
        <w:rPr>
          <w:rFonts w:ascii="Times New Roman" w:hAnsi="Times New Roman"/>
          <w:color w:val="000000"/>
          <w:sz w:val="24"/>
          <w:szCs w:val="24"/>
        </w:rPr>
        <w:t xml:space="preserve">електровимірювань</w:t>
      </w:r>
      <w:r>
        <w:rPr>
          <w:rFonts w:ascii="Times New Roman" w:hAnsi="Times New Roman"/>
          <w:color w:val="000000"/>
          <w:sz w:val="24"/>
          <w:szCs w:val="24"/>
        </w:rPr>
        <w:t xml:space="preserve"> (Ліфт) за кодом CPV за ЄЗС ДК 021:2015: 71630000-3 </w:t>
      </w:r>
      <w:bookmarkEnd w:id="0"/>
      <w:r>
        <w:rPr>
          <w:rFonts w:ascii="Times New Roman" w:hAnsi="Times New Roman"/>
          <w:sz w:val="24"/>
          <w:szCs w:val="24"/>
        </w:rPr>
        <w:t xml:space="preserve">Послуги з технічного огляду та </w:t>
      </w:r>
      <w:r>
        <w:rPr>
          <w:rFonts w:ascii="Times New Roman" w:hAnsi="Times New Roman"/>
          <w:sz w:val="24"/>
          <w:szCs w:val="24"/>
        </w:rPr>
        <w:t xml:space="preserve">випробовувань</w:t>
      </w:r>
      <w:r>
        <w:rPr>
          <w:rFonts w:ascii="Times New Roman" w:hAnsi="Times New Roman"/>
          <w:color w:val="000000"/>
          <w:sz w:val="24"/>
          <w:szCs w:val="24"/>
        </w:rPr>
        <w:t xml:space="preserve">.</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tbl>
      <w:tblPr>
        <w:tblW w:w="9756"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8"/>
        <w:gridCol w:w="7346"/>
        <w:gridCol w:w="992"/>
        <w:gridCol w:w="850"/>
      </w:tblGrid>
      <w:tr>
        <w:trPr>
          <w:trHeight w:val="248"/>
        </w:trPr>
        <w:tc>
          <w:tcPr>
            <w:shd w:val="clear" w:color="auto" w:fill="auto"/>
            <w:tcW w:w="568" w:type="dxa"/>
            <w:vAlign w:val="center"/>
            <w:textDirection w:val="lrTb"/>
            <w:noWrap/>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w:t>
            </w:r>
            <w:r/>
          </w:p>
        </w:tc>
        <w:tc>
          <w:tcPr>
            <w:shd w:val="clear" w:color="auto" w:fill="auto"/>
            <w:tcW w:w="7346" w:type="dxa"/>
            <w:vAlign w:val="center"/>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Найменування </w:t>
            </w:r>
            <w:r/>
          </w:p>
        </w:tc>
        <w:tc>
          <w:tcPr>
            <w:shd w:val="clear" w:color="auto" w:fill="auto"/>
            <w:tcW w:w="992" w:type="dxa"/>
            <w:vAlign w:val="center"/>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Од. виміру</w:t>
            </w:r>
            <w:r/>
          </w:p>
        </w:tc>
        <w:tc>
          <w:tcPr>
            <w:shd w:val="clear" w:color="auto" w:fill="auto"/>
            <w:tcW w:w="850" w:type="dxa"/>
            <w:vAlign w:val="center"/>
            <w:textDirection w:val="lrTb"/>
            <w:noWrap w:val="false"/>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rHeight w:val="339"/>
        </w:trPr>
        <w:tc>
          <w:tcPr>
            <w:shd w:val="clear" w:color="auto" w:fill="auto"/>
            <w:tcW w:w="568" w:type="dxa"/>
            <w:vAlign w:val="center"/>
            <w:textDirection w:val="lrTb"/>
            <w:noWrap/>
          </w:tcPr>
          <w:p>
            <w:pPr>
              <w:jc w:val="center"/>
              <w:rPr>
                <w:rFonts w:ascii="Times New Roman" w:hAnsi="Times New Roman" w:cs="Times New Roman"/>
                <w:b/>
                <w:bCs/>
                <w:sz w:val="24"/>
                <w:szCs w:val="24"/>
              </w:rPr>
            </w:pPr>
            <w:r>
              <w:rPr>
                <w:rFonts w:ascii="Times New Roman" w:hAnsi="Times New Roman" w:cs="Times New Roman"/>
                <w:b/>
                <w:bCs/>
                <w:sz w:val="24"/>
                <w:szCs w:val="24"/>
              </w:rPr>
              <w:t xml:space="preserve">1</w:t>
            </w:r>
            <w:r/>
          </w:p>
        </w:tc>
        <w:tc>
          <w:tcPr>
            <w:shd w:val="clear" w:color="auto" w:fill="auto"/>
            <w:tcW w:w="7346" w:type="dxa"/>
            <w:vAlign w:val="center"/>
            <w:textDirection w:val="lrTb"/>
            <w:noWrap w:val="false"/>
          </w:tcPr>
          <w:p>
            <w:pPr>
              <w:rPr>
                <w:rFonts w:ascii="Times New Roman" w:hAnsi="Times New Roman" w:cs="Times New Roman"/>
                <w:b/>
                <w:sz w:val="24"/>
                <w:szCs w:val="24"/>
                <w:highlight w:val="yellow"/>
              </w:rPr>
              <w:outlineLvl w:val="1"/>
            </w:pPr>
            <w:r>
              <w:rPr>
                <w:rFonts w:ascii="Times New Roman" w:hAnsi="Times New Roman" w:cs="Times New Roman"/>
                <w:b/>
                <w:bCs/>
                <w:sz w:val="24"/>
                <w:szCs w:val="24"/>
              </w:rPr>
              <w:t xml:space="preserve">Експертне обстеження з наданням протоколів </w:t>
            </w:r>
            <w:r>
              <w:rPr>
                <w:rFonts w:ascii="Times New Roman" w:hAnsi="Times New Roman" w:cs="Times New Roman"/>
                <w:b/>
                <w:bCs/>
                <w:sz w:val="24"/>
                <w:szCs w:val="24"/>
              </w:rPr>
              <w:t xml:space="preserve">електровимірювань</w:t>
            </w:r>
            <w:r>
              <w:rPr>
                <w:rFonts w:ascii="Times New Roman" w:hAnsi="Times New Roman" w:cs="Times New Roman"/>
                <w:b/>
                <w:bCs/>
                <w:sz w:val="24"/>
                <w:szCs w:val="24"/>
              </w:rPr>
              <w:t xml:space="preserve">, а саме: Ліфт (зав.№ 2023/0287, рік виготовлення 2023, електричний пасажирський MRL/SNL 2000 630, кількість поверхів – 3, без машинного приміщення, країна виробник Туреччина, який встановлений на об’єкті за </w:t>
            </w:r>
            <w:r>
              <w:rPr>
                <w:rFonts w:ascii="Times New Roman" w:hAnsi="Times New Roman" w:cs="Times New Roman"/>
                <w:b/>
                <w:bCs/>
                <w:sz w:val="24"/>
                <w:szCs w:val="24"/>
              </w:rPr>
              <w:t xml:space="preserve">адресою</w:t>
            </w:r>
            <w:r>
              <w:rPr>
                <w:rFonts w:ascii="Times New Roman" w:hAnsi="Times New Roman" w:cs="Times New Roman"/>
                <w:b/>
                <w:bCs/>
                <w:sz w:val="24"/>
                <w:szCs w:val="24"/>
              </w:rPr>
              <w:t xml:space="preserve">:</w:t>
            </w:r>
            <w:bookmarkStart w:id="1" w:name="_Hlk165544131"/>
            <w:r>
              <w:rPr>
                <w:rFonts w:ascii="Times New Roman" w:hAnsi="Times New Roman" w:cs="Times New Roman"/>
                <w:b/>
                <w:bCs/>
                <w:sz w:val="24"/>
                <w:szCs w:val="24"/>
              </w:rPr>
              <w:t xml:space="preserve"> м. Київ, </w:t>
            </w:r>
            <w:bookmarkEnd w:id="1"/>
            <w:r>
              <w:rPr>
                <w:rFonts w:ascii="Times New Roman" w:hAnsi="Times New Roman" w:cs="Times New Roman"/>
                <w:b/>
                <w:bCs/>
                <w:sz w:val="24"/>
                <w:szCs w:val="24"/>
              </w:rPr>
              <w:t xml:space="preserve">вул. Волинська, 26)</w:t>
            </w:r>
            <w:r/>
          </w:p>
        </w:tc>
        <w:tc>
          <w:tcPr>
            <w:shd w:val="clear" w:color="auto" w:fill="auto"/>
            <w:tcW w:w="992" w:type="dxa"/>
            <w:vAlign w:val="center"/>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послуга</w:t>
            </w:r>
            <w:r/>
          </w:p>
        </w:tc>
        <w:tc>
          <w:tcPr>
            <w:shd w:val="clear" w:color="auto" w:fill="auto"/>
            <w:tcW w:w="850" w:type="dxa"/>
            <w:vAlign w:val="center"/>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w:t>
            </w:r>
            <w:r/>
          </w:p>
        </w:tc>
      </w:tr>
    </w:tbl>
    <w:p>
      <w:pPr>
        <w:rPr>
          <w:rFonts w:ascii="Times New Roman" w:hAnsi="Times New Roman" w:cs="Times New Roman"/>
          <w:b/>
          <w:sz w:val="24"/>
          <w:szCs w:val="24"/>
          <w:lang w:eastAsia="uk-UA"/>
        </w:rPr>
      </w:pPr>
      <w:r>
        <w:rPr>
          <w:rFonts w:ascii="Times New Roman" w:hAnsi="Times New Roman" w:cs="Times New Roman"/>
          <w:b/>
          <w:sz w:val="24"/>
          <w:szCs w:val="24"/>
          <w:lang w:eastAsia="uk-UA"/>
        </w:rPr>
      </w:r>
      <w:r/>
    </w:p>
    <w:p>
      <w:pPr>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Технічні вимоги</w:t>
      </w:r>
      <w:r/>
    </w:p>
    <w:p>
      <w:pPr>
        <w:ind w:firstLine="567"/>
        <w:rPr>
          <w:rFonts w:ascii="Times New Roman" w:hAnsi="Times New Roman" w:cs="Times New Roman"/>
          <w:bCs/>
          <w:sz w:val="24"/>
          <w:szCs w:val="24"/>
          <w:u w:val="single"/>
        </w:rPr>
      </w:pPr>
      <w:r>
        <w:rPr>
          <w:rFonts w:ascii="Times New Roman" w:hAnsi="Times New Roman" w:cs="Times New Roman"/>
          <w:bCs/>
          <w:i/>
          <w:sz w:val="24"/>
          <w:szCs w:val="24"/>
        </w:rPr>
        <w:t xml:space="preserve">1. Предмет закупівлі:</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ДК 021: 2015 - </w:t>
      </w:r>
      <w:r>
        <w:rPr>
          <w:rFonts w:ascii="Times New Roman" w:hAnsi="Times New Roman" w:cs="Times New Roman"/>
          <w:b/>
          <w:bCs/>
          <w:color w:val="000000"/>
          <w:sz w:val="24"/>
          <w:szCs w:val="24"/>
        </w:rPr>
        <w:t xml:space="preserve">71630000-3 </w:t>
      </w:r>
      <w:r>
        <w:rPr>
          <w:rFonts w:ascii="Times New Roman" w:hAnsi="Times New Roman" w:cs="Times New Roman"/>
          <w:b/>
          <w:sz w:val="24"/>
          <w:szCs w:val="24"/>
        </w:rPr>
        <w:t xml:space="preserve">Послуги з технічного огляду та </w:t>
      </w:r>
      <w:r>
        <w:rPr>
          <w:rFonts w:ascii="Times New Roman" w:hAnsi="Times New Roman" w:cs="Times New Roman"/>
          <w:b/>
          <w:sz w:val="24"/>
          <w:szCs w:val="24"/>
        </w:rPr>
        <w:t xml:space="preserve">випробовувань</w:t>
      </w:r>
      <w:r>
        <w:rPr>
          <w:rFonts w:ascii="Times New Roman" w:hAnsi="Times New Roman" w:cs="Times New Roman"/>
          <w:b/>
          <w:sz w:val="24"/>
          <w:szCs w:val="24"/>
        </w:rPr>
        <w:t xml:space="preserve"> (Експертиза технічного стану ліфтів)</w:t>
      </w:r>
      <w:r>
        <w:rPr>
          <w:rFonts w:ascii="Times New Roman" w:hAnsi="Times New Roman" w:cs="Times New Roman"/>
          <w:bCs/>
          <w:sz w:val="24"/>
          <w:szCs w:val="24"/>
          <w:u w:val="single"/>
        </w:rPr>
        <w:t xml:space="preserve">         </w:t>
      </w:r>
      <w:r/>
    </w:p>
    <w:p>
      <w:pPr>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Експертне обстеження виконується з метою визначення технічного стану ліфтів, підготовки рішення щодо умов і строку їх подальшої безпечної екс</w:t>
      </w:r>
      <w:r>
        <w:rPr>
          <w:rFonts w:ascii="Times New Roman" w:hAnsi="Times New Roman" w:cs="Times New Roman"/>
          <w:sz w:val="24"/>
          <w:szCs w:val="24"/>
          <w:shd w:val="clear" w:color="auto" w:fill="ffffff"/>
        </w:rPr>
        <w:t xml:space="preserve">плуатації з урахуванням умов експлуатації та експлуатаційних режимів, визначення заходів щодо забезпечення безпечної експлуатації ліфтів на продовжуваний строк, а також потреби в проведенні ремонту, реконструкції, модернізації або виведення з експлуатації.</w:t>
      </w:r>
      <w:r/>
    </w:p>
    <w:p>
      <w:pPr>
        <w:ind w:firstLine="567"/>
        <w:rPr>
          <w:rFonts w:ascii="Times New Roman" w:hAnsi="Times New Roman" w:cs="Times New Roman"/>
          <w:bCs/>
          <w:sz w:val="24"/>
          <w:szCs w:val="24"/>
        </w:rPr>
      </w:pPr>
      <w:r>
        <w:rPr>
          <w:rFonts w:ascii="Times New Roman" w:hAnsi="Times New Roman" w:cs="Times New Roman"/>
          <w:bCs/>
          <w:i/>
          <w:sz w:val="24"/>
          <w:szCs w:val="24"/>
        </w:rPr>
        <w:t xml:space="preserve">2. Строк надання послуг:</w:t>
      </w:r>
      <w:r>
        <w:rPr>
          <w:rFonts w:ascii="Times New Roman" w:hAnsi="Times New Roman" w:cs="Times New Roman"/>
          <w:bCs/>
          <w:sz w:val="24"/>
          <w:szCs w:val="24"/>
        </w:rPr>
        <w:t xml:space="preserve"> до 28 червня 2024 року.</w:t>
      </w:r>
      <w:r/>
    </w:p>
    <w:p>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Виконавець надає Послуги Замовнику впродовж дії Договору.</w:t>
      </w:r>
      <w:r/>
    </w:p>
    <w:tbl>
      <w:tblPr>
        <w:tblW w:w="98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
        <w:gridCol w:w="7535"/>
        <w:gridCol w:w="1729"/>
      </w:tblGrid>
      <w:tr>
        <w:trPr>
          <w:cantSplit/>
          <w:trHeight w:val="675"/>
        </w:trPr>
        <w:tc>
          <w:tcPr>
            <w:shd w:val="pct15" w:color="auto" w:fill="auto"/>
            <w:tcW w:w="540" w:type="dxa"/>
            <w:vAlign w:val="center"/>
            <w:textDirection w:val="lrTb"/>
            <w:noWrap w:val="false"/>
          </w:tcPr>
          <w:p>
            <w:pPr>
              <w:jc w:val="center"/>
              <w:keepLines/>
              <w:keepNext/>
              <w:tabs>
                <w:tab w:val="center" w:pos="6294" w:leader="none"/>
                <w:tab w:val="center" w:pos="8038" w:leader="none"/>
                <w:tab w:val="center" w:pos="9247" w:leader="none"/>
              </w:tabs>
              <w:rPr>
                <w:rFonts w:ascii="Times New Roman" w:hAnsi="Times New Roman" w:cs="Times New Roman"/>
                <w:b/>
                <w:bCs/>
                <w:spacing w:val="-8"/>
                <w:sz w:val="24"/>
                <w:szCs w:val="24"/>
              </w:rPr>
            </w:pPr>
            <w:r>
              <w:rPr>
                <w:rFonts w:ascii="Times New Roman" w:hAnsi="Times New Roman" w:cs="Times New Roman"/>
                <w:b/>
                <w:bCs/>
                <w:spacing w:val="-8"/>
                <w:sz w:val="24"/>
                <w:szCs w:val="24"/>
              </w:rPr>
              <w:t xml:space="preserve">№</w:t>
            </w:r>
            <w:r/>
          </w:p>
          <w:p>
            <w:pPr>
              <w:jc w:val="center"/>
              <w:keepLines/>
              <w:keepNext/>
              <w:tabs>
                <w:tab w:val="center" w:pos="6294" w:leader="none"/>
                <w:tab w:val="center" w:pos="8038" w:leader="none"/>
                <w:tab w:val="center" w:pos="9247" w:leader="none"/>
              </w:tabs>
              <w:rPr>
                <w:rFonts w:ascii="Times New Roman" w:hAnsi="Times New Roman" w:cs="Times New Roman"/>
                <w:b/>
                <w:bCs/>
                <w:spacing w:val="-8"/>
                <w:sz w:val="24"/>
                <w:szCs w:val="24"/>
              </w:rPr>
            </w:pPr>
            <w:r>
              <w:rPr>
                <w:rFonts w:ascii="Times New Roman" w:hAnsi="Times New Roman" w:cs="Times New Roman"/>
                <w:b/>
                <w:bCs/>
                <w:spacing w:val="-8"/>
                <w:sz w:val="24"/>
                <w:szCs w:val="24"/>
              </w:rPr>
              <w:t xml:space="preserve">п/п</w:t>
            </w:r>
            <w:r/>
          </w:p>
        </w:tc>
        <w:tc>
          <w:tcPr>
            <w:shd w:val="pct15" w:color="auto" w:fill="auto"/>
            <w:tcW w:w="7535" w:type="dxa"/>
            <w:vAlign w:val="center"/>
            <w:textDirection w:val="lrTb"/>
            <w:noWrap w:val="false"/>
          </w:tcPr>
          <w:p>
            <w:pPr>
              <w:jc w:val="center"/>
              <w:keepLines/>
              <w:keepNext/>
              <w:tabs>
                <w:tab w:val="center" w:pos="6294" w:leader="none"/>
                <w:tab w:val="center" w:pos="8038" w:leader="none"/>
                <w:tab w:val="center" w:pos="9247" w:leader="none"/>
              </w:tabs>
              <w:rPr>
                <w:rFonts w:ascii="Times New Roman" w:hAnsi="Times New Roman" w:cs="Times New Roman"/>
                <w:b/>
                <w:bCs/>
                <w:spacing w:val="-8"/>
                <w:sz w:val="24"/>
                <w:szCs w:val="24"/>
              </w:rPr>
            </w:pPr>
            <w:r>
              <w:rPr>
                <w:rFonts w:ascii="Times New Roman" w:hAnsi="Times New Roman" w:cs="Times New Roman"/>
                <w:b/>
                <w:bCs/>
                <w:spacing w:val="-8"/>
                <w:sz w:val="24"/>
                <w:szCs w:val="24"/>
              </w:rPr>
              <w:t xml:space="preserve">Найменування послуги</w:t>
            </w:r>
            <w:r/>
          </w:p>
        </w:tc>
        <w:tc>
          <w:tcPr>
            <w:shd w:val="pct15" w:color="auto" w:fill="auto"/>
            <w:tcW w:w="1729" w:type="dxa"/>
            <w:vAlign w:val="center"/>
            <w:textDirection w:val="lrTb"/>
            <w:noWrap w:val="false"/>
          </w:tcPr>
          <w:p>
            <w:pPr>
              <w:jc w:val="center"/>
              <w:keepLines/>
              <w:keepNext/>
              <w:tabs>
                <w:tab w:val="center" w:pos="6294" w:leader="none"/>
                <w:tab w:val="center" w:pos="8038" w:leader="none"/>
                <w:tab w:val="center" w:pos="9247" w:leader="none"/>
              </w:tabs>
              <w:rPr>
                <w:rFonts w:ascii="Times New Roman" w:hAnsi="Times New Roman" w:cs="Times New Roman"/>
                <w:b/>
                <w:bCs/>
                <w:spacing w:val="-8"/>
                <w:sz w:val="24"/>
                <w:szCs w:val="24"/>
              </w:rPr>
            </w:pPr>
            <w:r>
              <w:rPr>
                <w:rFonts w:ascii="Times New Roman" w:hAnsi="Times New Roman" w:cs="Times New Roman"/>
                <w:b/>
                <w:bCs/>
                <w:spacing w:val="-8"/>
                <w:sz w:val="24"/>
                <w:szCs w:val="24"/>
              </w:rPr>
              <w:t xml:space="preserve">Кількість ліфтів, од.</w:t>
            </w:r>
            <w:r/>
          </w:p>
        </w:tc>
      </w:tr>
      <w:tr>
        <w:trPr>
          <w:cantSplit/>
          <w:trHeight w:val="349"/>
        </w:trPr>
        <w:tc>
          <w:tcPr>
            <w:tcBorders>
              <w:bottom w:val="single" w:color="auto" w:sz="4" w:space="0"/>
            </w:tcBorders>
            <w:tcW w:w="540" w:type="dxa"/>
            <w:vAlign w:val="center"/>
            <w:textDirection w:val="lrTb"/>
            <w:noWrap w:val="false"/>
          </w:tcPr>
          <w:p>
            <w:pPr>
              <w:jc w:val="center"/>
              <w:keepLines/>
              <w:keepNext/>
              <w:rPr>
                <w:rFonts w:ascii="Times New Roman" w:hAnsi="Times New Roman" w:cs="Times New Roman"/>
                <w:sz w:val="24"/>
                <w:szCs w:val="24"/>
              </w:rPr>
            </w:pPr>
            <w:r>
              <w:rPr>
                <w:rFonts w:ascii="Times New Roman" w:hAnsi="Times New Roman" w:cs="Times New Roman"/>
                <w:sz w:val="24"/>
                <w:szCs w:val="24"/>
              </w:rPr>
              <w:t xml:space="preserve">1.</w:t>
            </w:r>
            <w:r/>
          </w:p>
        </w:tc>
        <w:tc>
          <w:tcPr>
            <w:tcBorders>
              <w:bottom w:val="single" w:color="auto" w:sz="4" w:space="0"/>
            </w:tcBorders>
            <w:tcW w:w="7535" w:type="dxa"/>
            <w:vAlign w:val="center"/>
            <w:textDirection w:val="lrTb"/>
            <w:noWrap w:val="false"/>
          </w:tcPr>
          <w:p>
            <w:pPr>
              <w:jc w:val="both"/>
              <w:keepNext/>
              <w:rPr>
                <w:rFonts w:ascii="Times New Roman" w:hAnsi="Times New Roman" w:cs="Times New Roman"/>
                <w:bCs/>
                <w:sz w:val="24"/>
                <w:szCs w:val="24"/>
              </w:rPr>
            </w:pPr>
            <w:r>
              <w:rPr>
                <w:rFonts w:ascii="Times New Roman" w:hAnsi="Times New Roman" w:cs="Times New Roman"/>
                <w:b/>
                <w:bCs/>
                <w:sz w:val="24"/>
                <w:szCs w:val="24"/>
              </w:rPr>
              <w:t xml:space="preserve">Експертне обстеження з наданням протоколів </w:t>
            </w:r>
            <w:r>
              <w:rPr>
                <w:rFonts w:ascii="Times New Roman" w:hAnsi="Times New Roman" w:cs="Times New Roman"/>
                <w:b/>
                <w:bCs/>
                <w:sz w:val="24"/>
                <w:szCs w:val="24"/>
              </w:rPr>
              <w:t xml:space="preserve">електровимірювань</w:t>
            </w:r>
            <w:r>
              <w:rPr>
                <w:rFonts w:ascii="Times New Roman" w:hAnsi="Times New Roman" w:cs="Times New Roman"/>
                <w:b/>
                <w:bCs/>
                <w:sz w:val="24"/>
                <w:szCs w:val="24"/>
              </w:rPr>
              <w:t xml:space="preserve">, а саме: Ліфт (зав.№ 2023/0287, рік виготовлення 2023, електричний пасажирський MRL/SNL 2000 630, кількість поверхів – 3, без машинного приміщення, країна виробник Туреччина, який встановлений на об’єкті за </w:t>
            </w:r>
            <w:r>
              <w:rPr>
                <w:rFonts w:ascii="Times New Roman" w:hAnsi="Times New Roman" w:cs="Times New Roman"/>
                <w:b/>
                <w:bCs/>
                <w:sz w:val="24"/>
                <w:szCs w:val="24"/>
              </w:rPr>
              <w:t xml:space="preserve">адресою</w:t>
            </w:r>
            <w:r>
              <w:rPr>
                <w:rFonts w:ascii="Times New Roman" w:hAnsi="Times New Roman" w:cs="Times New Roman"/>
                <w:b/>
                <w:bCs/>
                <w:sz w:val="24"/>
                <w:szCs w:val="24"/>
              </w:rPr>
              <w:t xml:space="preserve">: м. Київ, вул. Волинська, 26)</w:t>
            </w:r>
            <w:r/>
          </w:p>
        </w:tc>
        <w:tc>
          <w:tcPr>
            <w:tcW w:w="1729" w:type="dxa"/>
            <w:vAlign w:val="center"/>
            <w:textDirection w:val="lrTb"/>
            <w:noWrap w:val="false"/>
          </w:tcPr>
          <w:p>
            <w:pPr>
              <w:jc w:val="center"/>
              <w:keepNext/>
              <w:rPr>
                <w:rFonts w:ascii="Times New Roman" w:hAnsi="Times New Roman" w:cs="Times New Roman"/>
                <w:sz w:val="24"/>
                <w:szCs w:val="24"/>
              </w:rPr>
            </w:pPr>
            <w:r>
              <w:rPr>
                <w:rFonts w:ascii="Times New Roman" w:hAnsi="Times New Roman" w:cs="Times New Roman"/>
                <w:sz w:val="24"/>
                <w:szCs w:val="24"/>
              </w:rPr>
              <w:t xml:space="preserve">1</w:t>
            </w:r>
            <w:r/>
          </w:p>
        </w:tc>
      </w:tr>
      <w:tr>
        <w:trPr>
          <w:cantSplit/>
          <w:trHeight w:val="435"/>
        </w:trPr>
        <w:tc>
          <w:tcPr>
            <w:gridSpan w:val="2"/>
            <w:tcBorders>
              <w:top w:val="single" w:color="auto" w:sz="4" w:space="0"/>
              <w:left w:val="single" w:color="auto" w:sz="4" w:space="0"/>
              <w:bottom w:val="single" w:color="auto" w:sz="4" w:space="0"/>
              <w:right w:val="single" w:color="auto" w:sz="4" w:space="0"/>
            </w:tcBorders>
            <w:tcW w:w="8075" w:type="dxa"/>
            <w:vAlign w:val="center"/>
            <w:textDirection w:val="lrTb"/>
            <w:noWrap w:val="false"/>
          </w:tcPr>
          <w:p>
            <w:pPr>
              <w:jc w:val="center"/>
              <w:keepLines/>
              <w:keepNext/>
              <w:rPr>
                <w:rFonts w:ascii="Times New Roman" w:hAnsi="Times New Roman" w:cs="Times New Roman"/>
                <w:sz w:val="24"/>
                <w:szCs w:val="24"/>
              </w:rPr>
            </w:pPr>
            <w:r>
              <w:rPr>
                <w:rFonts w:ascii="Times New Roman" w:hAnsi="Times New Roman" w:cs="Times New Roman"/>
                <w:b/>
                <w:sz w:val="24"/>
                <w:szCs w:val="24"/>
              </w:rPr>
              <w:t xml:space="preserve">Всього</w:t>
            </w:r>
            <w:r/>
          </w:p>
        </w:tc>
        <w:tc>
          <w:tcPr>
            <w:tcBorders>
              <w:top w:val="single" w:color="auto" w:sz="4" w:space="0"/>
              <w:left w:val="single" w:color="auto" w:sz="4" w:space="0"/>
              <w:bottom w:val="single" w:color="auto" w:sz="4" w:space="0"/>
              <w:right w:val="single" w:color="auto" w:sz="4" w:space="0"/>
            </w:tcBorders>
            <w:tcW w:w="1729" w:type="dxa"/>
            <w:vAlign w:val="center"/>
            <w:textDirection w:val="lrTb"/>
            <w:noWrap w:val="false"/>
          </w:tcPr>
          <w:p>
            <w:pPr>
              <w:jc w:val="center"/>
              <w:keepLines/>
              <w:keepNext/>
              <w:rPr>
                <w:rFonts w:ascii="Times New Roman" w:hAnsi="Times New Roman" w:cs="Times New Roman"/>
                <w:b/>
                <w:sz w:val="24"/>
                <w:szCs w:val="24"/>
              </w:rPr>
            </w:pPr>
            <w:r>
              <w:rPr>
                <w:rFonts w:ascii="Times New Roman" w:hAnsi="Times New Roman" w:cs="Times New Roman"/>
                <w:b/>
                <w:sz w:val="24"/>
                <w:szCs w:val="24"/>
              </w:rPr>
              <w:t xml:space="preserve">1</w:t>
            </w:r>
            <w:r/>
          </w:p>
        </w:tc>
      </w:tr>
    </w:tbl>
    <w:p>
      <w:pPr>
        <w:jc w:val="both"/>
        <w:rPr>
          <w:i/>
        </w:rPr>
      </w:pPr>
      <w:r>
        <w:rPr>
          <w:i/>
        </w:rPr>
      </w:r>
      <w:r/>
    </w:p>
    <w:p>
      <w:pPr>
        <w:ind w:firstLine="567"/>
        <w:jc w:val="both"/>
        <w:spacing w:after="0" w:line="240" w:lineRule="auto"/>
        <w:rPr>
          <w:rFonts w:ascii="Times New Roman" w:hAnsi="Times New Roman" w:eastAsia="Arial" w:cs="Times New Roman"/>
          <w:i/>
          <w:sz w:val="24"/>
          <w:szCs w:val="24"/>
        </w:rPr>
      </w:pPr>
      <w:r>
        <w:rPr>
          <w:rFonts w:ascii="Times New Roman" w:hAnsi="Times New Roman" w:eastAsia="Arial" w:cs="Times New Roman"/>
          <w:i/>
          <w:sz w:val="24"/>
          <w:szCs w:val="24"/>
        </w:rPr>
        <w:t xml:space="preserve">3. Склад послуг під час проведення експертного обстеження</w:t>
      </w:r>
      <w:r/>
    </w:p>
    <w:p>
      <w:pPr>
        <w:ind w:firstLine="567"/>
        <w:jc w:val="both"/>
        <w:spacing w:after="0" w:line="240" w:lineRule="auto"/>
        <w:rPr>
          <w:rFonts w:ascii="Times New Roman" w:hAnsi="Times New Roman" w:eastAsia="Arial" w:cs="Times New Roman"/>
          <w:sz w:val="24"/>
          <w:szCs w:val="24"/>
        </w:rPr>
      </w:pPr>
      <w:r>
        <w:rPr>
          <w:rFonts w:ascii="Times New Roman" w:hAnsi="Times New Roman" w:eastAsia="Arial" w:cs="Times New Roman"/>
          <w:sz w:val="24"/>
          <w:szCs w:val="24"/>
        </w:rPr>
        <w:t xml:space="preserve">Під час експертного обстеження ліфтів здійснюються такі роботи:</w:t>
      </w:r>
      <w:r/>
    </w:p>
    <w:p>
      <w:pPr>
        <w:ind w:firstLine="567"/>
        <w:jc w:val="both"/>
        <w:spacing w:after="0" w:line="240" w:lineRule="auto"/>
        <w:rPr>
          <w:rFonts w:ascii="Times New Roman" w:hAnsi="Times New Roman" w:eastAsia="Arial" w:cs="Times New Roman"/>
          <w:sz w:val="24"/>
          <w:szCs w:val="24"/>
        </w:rPr>
      </w:pPr>
      <w:r>
        <w:rPr>
          <w:rFonts w:ascii="Times New Roman" w:hAnsi="Times New Roman" w:eastAsia="Arial" w:cs="Times New Roman"/>
          <w:sz w:val="24"/>
          <w:szCs w:val="24"/>
        </w:rPr>
        <w:t xml:space="preserve">-</w:t>
      </w:r>
      <w:r>
        <w:rPr>
          <w:rFonts w:ascii="Times New Roman" w:hAnsi="Times New Roman" w:eastAsia="Arial" w:cs="Times New Roman"/>
          <w:sz w:val="24"/>
          <w:szCs w:val="24"/>
        </w:rPr>
        <w:tab/>
        <w:t xml:space="preserve">вивчення експлуатаційних, конструкторських, ремонтних та інших документів, які містять дані про ліфт протягом усього періоду експлуатації;</w:t>
      </w:r>
      <w:r/>
    </w:p>
    <w:p>
      <w:pPr>
        <w:ind w:firstLine="567"/>
        <w:jc w:val="both"/>
        <w:spacing w:after="0" w:line="240" w:lineRule="auto"/>
        <w:rPr>
          <w:rFonts w:ascii="Times New Roman" w:hAnsi="Times New Roman" w:eastAsia="Arial" w:cs="Times New Roman"/>
          <w:sz w:val="24"/>
          <w:szCs w:val="24"/>
        </w:rPr>
      </w:pPr>
      <w:r>
        <w:rPr>
          <w:rFonts w:ascii="Times New Roman" w:hAnsi="Times New Roman" w:eastAsia="Arial" w:cs="Times New Roman"/>
          <w:sz w:val="24"/>
          <w:szCs w:val="24"/>
        </w:rPr>
        <w:t xml:space="preserve">-</w:t>
      </w:r>
      <w:r>
        <w:rPr>
          <w:rFonts w:ascii="Times New Roman" w:hAnsi="Times New Roman" w:eastAsia="Arial" w:cs="Times New Roman"/>
          <w:sz w:val="24"/>
          <w:szCs w:val="24"/>
        </w:rPr>
        <w:tab/>
        <w:t xml:space="preserve">перевірка організації безпечної експлуатації, технічного обслуговування та ремонту ліфта;</w:t>
      </w:r>
      <w:r/>
    </w:p>
    <w:p>
      <w:pPr>
        <w:ind w:firstLine="567"/>
        <w:jc w:val="both"/>
        <w:spacing w:after="0" w:line="240" w:lineRule="auto"/>
        <w:rPr>
          <w:rFonts w:ascii="Times New Roman" w:hAnsi="Times New Roman" w:eastAsia="Arial" w:cs="Times New Roman"/>
          <w:sz w:val="24"/>
          <w:szCs w:val="24"/>
        </w:rPr>
      </w:pPr>
      <w:r>
        <w:rPr>
          <w:rFonts w:ascii="Times New Roman" w:hAnsi="Times New Roman" w:eastAsia="Arial" w:cs="Times New Roman"/>
          <w:sz w:val="24"/>
          <w:szCs w:val="24"/>
        </w:rPr>
        <w:t xml:space="preserve">-</w:t>
      </w:r>
      <w:r>
        <w:rPr>
          <w:rFonts w:ascii="Times New Roman" w:hAnsi="Times New Roman" w:eastAsia="Arial" w:cs="Times New Roman"/>
          <w:sz w:val="24"/>
          <w:szCs w:val="24"/>
        </w:rPr>
        <w:tab/>
        <w:t xml:space="preserve">аналіз умов та режимів експлуатації;</w:t>
      </w:r>
      <w:r/>
    </w:p>
    <w:p>
      <w:pPr>
        <w:ind w:firstLine="567"/>
        <w:jc w:val="both"/>
        <w:spacing w:after="0" w:line="240" w:lineRule="auto"/>
        <w:rPr>
          <w:rFonts w:ascii="Times New Roman" w:hAnsi="Times New Roman" w:eastAsia="Arial" w:cs="Times New Roman"/>
          <w:sz w:val="24"/>
          <w:szCs w:val="24"/>
        </w:rPr>
      </w:pPr>
      <w:r>
        <w:rPr>
          <w:rFonts w:ascii="Times New Roman" w:hAnsi="Times New Roman" w:eastAsia="Arial" w:cs="Times New Roman"/>
          <w:sz w:val="24"/>
          <w:szCs w:val="24"/>
        </w:rPr>
        <w:t xml:space="preserve">-</w:t>
      </w:r>
      <w:r>
        <w:rPr>
          <w:rFonts w:ascii="Times New Roman" w:hAnsi="Times New Roman" w:eastAsia="Arial" w:cs="Times New Roman"/>
          <w:sz w:val="24"/>
          <w:szCs w:val="24"/>
        </w:rPr>
        <w:tab/>
        <w:t xml:space="preserve">розроблення та узгодження програми робіт з експертного обстеження;</w:t>
      </w:r>
      <w:r/>
    </w:p>
    <w:p>
      <w:pPr>
        <w:ind w:firstLine="567"/>
        <w:jc w:val="both"/>
        <w:spacing w:after="0" w:line="240" w:lineRule="auto"/>
        <w:rPr>
          <w:rFonts w:ascii="Times New Roman" w:hAnsi="Times New Roman" w:eastAsia="Arial" w:cs="Times New Roman"/>
          <w:sz w:val="24"/>
          <w:szCs w:val="24"/>
        </w:rPr>
      </w:pPr>
      <w:r>
        <w:rPr>
          <w:rFonts w:ascii="Times New Roman" w:hAnsi="Times New Roman" w:eastAsia="Arial" w:cs="Times New Roman"/>
          <w:sz w:val="24"/>
          <w:szCs w:val="24"/>
        </w:rPr>
        <w:t xml:space="preserve">-</w:t>
      </w:r>
      <w:r>
        <w:rPr>
          <w:rFonts w:ascii="Times New Roman" w:hAnsi="Times New Roman" w:eastAsia="Arial" w:cs="Times New Roman"/>
          <w:sz w:val="24"/>
          <w:szCs w:val="24"/>
        </w:rPr>
        <w:tab/>
        <w:t xml:space="preserve">проведення огляду ліфта та його складових частин;</w:t>
      </w:r>
      <w:r/>
    </w:p>
    <w:p>
      <w:pPr>
        <w:ind w:firstLine="567"/>
        <w:jc w:val="both"/>
        <w:spacing w:after="0" w:line="240" w:lineRule="auto"/>
        <w:rPr>
          <w:rFonts w:ascii="Times New Roman" w:hAnsi="Times New Roman" w:eastAsia="Arial" w:cs="Times New Roman"/>
          <w:sz w:val="24"/>
          <w:szCs w:val="24"/>
        </w:rPr>
      </w:pPr>
      <w:r>
        <w:rPr>
          <w:rFonts w:ascii="Times New Roman" w:hAnsi="Times New Roman" w:eastAsia="Arial" w:cs="Times New Roman"/>
          <w:sz w:val="24"/>
          <w:szCs w:val="24"/>
        </w:rPr>
        <w:t xml:space="preserve">-</w:t>
      </w:r>
      <w:r>
        <w:rPr>
          <w:rFonts w:ascii="Times New Roman" w:hAnsi="Times New Roman" w:eastAsia="Arial" w:cs="Times New Roman"/>
          <w:sz w:val="24"/>
          <w:szCs w:val="24"/>
        </w:rPr>
        <w:tab/>
        <w:t xml:space="preserve">проведення неруйнівного контролю несучих металевих конструкцій і обладнання (за необхідності);</w:t>
      </w:r>
      <w:r/>
    </w:p>
    <w:p>
      <w:pPr>
        <w:ind w:firstLine="567"/>
        <w:jc w:val="both"/>
        <w:spacing w:after="0" w:line="240" w:lineRule="auto"/>
        <w:rPr>
          <w:rFonts w:ascii="Times New Roman" w:hAnsi="Times New Roman" w:eastAsia="Arial" w:cs="Times New Roman"/>
          <w:sz w:val="24"/>
          <w:szCs w:val="24"/>
        </w:rPr>
      </w:pPr>
      <w:r>
        <w:rPr>
          <w:rFonts w:ascii="Times New Roman" w:hAnsi="Times New Roman" w:eastAsia="Arial" w:cs="Times New Roman"/>
          <w:sz w:val="24"/>
          <w:szCs w:val="24"/>
        </w:rPr>
        <w:t xml:space="preserve">-</w:t>
      </w:r>
      <w:r>
        <w:rPr>
          <w:rFonts w:ascii="Times New Roman" w:hAnsi="Times New Roman" w:eastAsia="Arial" w:cs="Times New Roman"/>
          <w:sz w:val="24"/>
          <w:szCs w:val="24"/>
        </w:rPr>
        <w:tab/>
        <w:t xml:space="preserve">випробування ліфта (перевіряння функціонування в основних і спеціальних режимах роботи ліфта, перевіряння і випробування складових частин і  ліфта  в цілому);</w:t>
      </w:r>
      <w:r/>
    </w:p>
    <w:p>
      <w:pPr>
        <w:ind w:firstLine="567"/>
        <w:jc w:val="both"/>
        <w:spacing w:after="0" w:line="240" w:lineRule="auto"/>
        <w:rPr>
          <w:rFonts w:ascii="Times New Roman" w:hAnsi="Times New Roman" w:eastAsia="Arial" w:cs="Times New Roman"/>
          <w:sz w:val="24"/>
          <w:szCs w:val="24"/>
        </w:rPr>
      </w:pPr>
      <w:r>
        <w:rPr>
          <w:rFonts w:ascii="Times New Roman" w:hAnsi="Times New Roman" w:eastAsia="Arial" w:cs="Times New Roman"/>
          <w:sz w:val="24"/>
          <w:szCs w:val="24"/>
        </w:rPr>
        <w:t xml:space="preserve">-</w:t>
      </w:r>
      <w:r>
        <w:rPr>
          <w:rFonts w:ascii="Times New Roman" w:hAnsi="Times New Roman" w:eastAsia="Arial" w:cs="Times New Roman"/>
          <w:sz w:val="24"/>
          <w:szCs w:val="24"/>
        </w:rPr>
        <w:tab/>
        <w:t xml:space="preserve">здійснення розрахунково-аналітичних процедур оцінки та прогнозування технічного стану ліфта;</w:t>
      </w:r>
      <w:r/>
    </w:p>
    <w:p>
      <w:pPr>
        <w:ind w:firstLine="567"/>
        <w:jc w:val="both"/>
        <w:spacing w:after="0" w:line="240" w:lineRule="auto"/>
        <w:rPr>
          <w:rFonts w:ascii="Times New Roman" w:hAnsi="Times New Roman" w:eastAsia="Arial" w:cs="Times New Roman"/>
          <w:sz w:val="24"/>
          <w:szCs w:val="24"/>
        </w:rPr>
      </w:pPr>
      <w:r>
        <w:rPr>
          <w:rFonts w:ascii="Times New Roman" w:hAnsi="Times New Roman" w:eastAsia="Arial" w:cs="Times New Roman"/>
          <w:sz w:val="24"/>
          <w:szCs w:val="24"/>
        </w:rPr>
        <w:t xml:space="preserve">-</w:t>
      </w:r>
      <w:r>
        <w:rPr>
          <w:rFonts w:ascii="Times New Roman" w:hAnsi="Times New Roman" w:eastAsia="Arial" w:cs="Times New Roman"/>
          <w:sz w:val="24"/>
          <w:szCs w:val="24"/>
        </w:rPr>
        <w:tab/>
        <w:t xml:space="preserve">підготовлення рішення щодо умов і  строку  подальшої  безпечної експлуатації;</w:t>
      </w:r>
      <w:r/>
    </w:p>
    <w:p>
      <w:pPr>
        <w:ind w:firstLine="567"/>
        <w:jc w:val="both"/>
        <w:spacing w:after="0" w:line="240" w:lineRule="auto"/>
        <w:rPr>
          <w:rFonts w:ascii="Times New Roman" w:hAnsi="Times New Roman" w:eastAsia="Arial" w:cs="Times New Roman"/>
          <w:sz w:val="24"/>
          <w:szCs w:val="24"/>
        </w:rPr>
      </w:pPr>
      <w:r>
        <w:rPr>
          <w:rFonts w:ascii="Times New Roman" w:hAnsi="Times New Roman" w:eastAsia="Arial" w:cs="Times New Roman"/>
          <w:sz w:val="24"/>
          <w:szCs w:val="24"/>
        </w:rPr>
        <w:t xml:space="preserve">-</w:t>
      </w:r>
      <w:r>
        <w:rPr>
          <w:rFonts w:ascii="Times New Roman" w:hAnsi="Times New Roman" w:eastAsia="Arial" w:cs="Times New Roman"/>
          <w:sz w:val="24"/>
          <w:szCs w:val="24"/>
        </w:rPr>
        <w:tab/>
        <w:t xml:space="preserve">оформлення результатів експертного обстеження, складання висновку експертизи та протоколів </w:t>
      </w:r>
      <w:r>
        <w:rPr>
          <w:rFonts w:ascii="Times New Roman" w:hAnsi="Times New Roman" w:eastAsia="Arial" w:cs="Times New Roman"/>
          <w:sz w:val="24"/>
          <w:szCs w:val="24"/>
        </w:rPr>
        <w:t xml:space="preserve">електровимірювань</w:t>
      </w:r>
      <w:r>
        <w:rPr>
          <w:rFonts w:ascii="Times New Roman" w:hAnsi="Times New Roman" w:eastAsia="Arial" w:cs="Times New Roman"/>
          <w:sz w:val="24"/>
          <w:szCs w:val="24"/>
        </w:rPr>
        <w:t xml:space="preserve"> та звітування про результати експертного обстеження.</w:t>
      </w:r>
      <w:r/>
    </w:p>
    <w:p>
      <w:pPr>
        <w:ind w:firstLine="567"/>
        <w:jc w:val="both"/>
        <w:spacing w:after="0" w:line="240" w:lineRule="auto"/>
        <w:rPr>
          <w:rFonts w:ascii="Times New Roman" w:hAnsi="Times New Roman" w:eastAsia="Arial" w:cs="Times New Roman"/>
          <w:sz w:val="24"/>
          <w:szCs w:val="24"/>
        </w:rPr>
      </w:pPr>
      <w:r>
        <w:rPr>
          <w:rFonts w:ascii="Times New Roman" w:hAnsi="Times New Roman" w:eastAsia="Arial" w:cs="Times New Roman"/>
          <w:sz w:val="24"/>
          <w:szCs w:val="24"/>
        </w:rPr>
        <w:t xml:space="preserve">Залежно від мети та причин проведення експертного обстеження склад робіт може </w:t>
      </w:r>
      <w:r>
        <w:rPr>
          <w:rFonts w:ascii="Times New Roman" w:hAnsi="Times New Roman" w:eastAsia="Arial" w:cs="Times New Roman"/>
          <w:sz w:val="24"/>
          <w:szCs w:val="24"/>
        </w:rPr>
        <w:t xml:space="preserve">уточнюватися</w:t>
      </w:r>
      <w:r>
        <w:rPr>
          <w:rFonts w:ascii="Times New Roman" w:hAnsi="Times New Roman" w:eastAsia="Arial" w:cs="Times New Roman"/>
          <w:sz w:val="24"/>
          <w:szCs w:val="24"/>
        </w:rPr>
        <w:t xml:space="preserve"> під час розроблення програми робіт з експертного обстеження.</w:t>
      </w:r>
      <w:r/>
    </w:p>
    <w:p>
      <w:pPr>
        <w:ind w:firstLine="567"/>
        <w:jc w:val="both"/>
        <w:spacing w:after="0" w:line="240" w:lineRule="auto"/>
        <w:rPr>
          <w:rFonts w:ascii="Times New Roman" w:hAnsi="Times New Roman" w:cs="Times New Roman"/>
          <w:spacing w:val="-6"/>
          <w:sz w:val="24"/>
          <w:szCs w:val="24"/>
        </w:rPr>
      </w:pPr>
      <w:r>
        <w:rPr>
          <w:rFonts w:ascii="Times New Roman" w:hAnsi="Times New Roman" w:eastAsia="Arial" w:cs="Times New Roman"/>
          <w:i/>
          <w:color w:val="000000"/>
          <w:sz w:val="24"/>
          <w:szCs w:val="24"/>
        </w:rPr>
        <w:t xml:space="preserve">4.</w:t>
      </w:r>
      <w:r>
        <w:rPr>
          <w:rFonts w:ascii="Times New Roman" w:hAnsi="Times New Roman" w:eastAsia="Arial" w:cs="Times New Roman"/>
          <w:color w:val="000000"/>
          <w:sz w:val="24"/>
          <w:szCs w:val="24"/>
        </w:rPr>
        <w:t xml:space="preserve"> Результати експертного обстеження ліфта </w:t>
      </w:r>
      <w:r>
        <w:rPr>
          <w:rFonts w:ascii="Times New Roman" w:hAnsi="Times New Roman" w:eastAsia="Arial" w:cs="Times New Roman"/>
          <w:color w:val="000000"/>
          <w:spacing w:val="3"/>
          <w:sz w:val="24"/>
          <w:szCs w:val="24"/>
        </w:rPr>
        <w:t xml:space="preserve">оформлюються </w:t>
      </w:r>
      <w:r>
        <w:rPr>
          <w:rFonts w:ascii="Times New Roman" w:hAnsi="Times New Roman" w:eastAsia="Arial" w:cs="Times New Roman"/>
          <w:color w:val="000000"/>
          <w:sz w:val="24"/>
          <w:szCs w:val="24"/>
        </w:rPr>
        <w:t xml:space="preserve">висновком експертизи та</w:t>
      </w:r>
      <w:r>
        <w:rPr>
          <w:rFonts w:ascii="Times New Roman" w:hAnsi="Times New Roman" w:cs="Times New Roman"/>
          <w:sz w:val="24"/>
          <w:szCs w:val="24"/>
        </w:rPr>
        <w:t xml:space="preserve"> </w:t>
      </w:r>
      <w:r>
        <w:rPr>
          <w:rFonts w:ascii="Times New Roman" w:hAnsi="Times New Roman" w:eastAsia="Arial" w:cs="Times New Roman"/>
          <w:color w:val="000000"/>
          <w:sz w:val="24"/>
          <w:szCs w:val="24"/>
        </w:rPr>
        <w:t xml:space="preserve">протоколами </w:t>
      </w:r>
      <w:r>
        <w:rPr>
          <w:rFonts w:ascii="Times New Roman" w:hAnsi="Times New Roman" w:eastAsia="Arial" w:cs="Times New Roman"/>
          <w:color w:val="000000"/>
          <w:sz w:val="24"/>
          <w:szCs w:val="24"/>
        </w:rPr>
        <w:t xml:space="preserve">електровимірювань</w:t>
      </w:r>
      <w:r>
        <w:rPr>
          <w:rFonts w:ascii="Times New Roman" w:hAnsi="Times New Roman" w:eastAsia="Arial" w:cs="Times New Roman"/>
          <w:color w:val="000000"/>
          <w:sz w:val="24"/>
          <w:szCs w:val="24"/>
        </w:rPr>
        <w:t xml:space="preserve">.</w:t>
      </w:r>
      <w:r>
        <w:rPr>
          <w:rFonts w:ascii="Times New Roman" w:hAnsi="Times New Roman" w:cs="Times New Roman"/>
          <w:spacing w:val="-4"/>
          <w:sz w:val="24"/>
          <w:szCs w:val="24"/>
        </w:rPr>
        <w:t xml:space="preserve"> Форму </w:t>
      </w:r>
      <w:r>
        <w:rPr>
          <w:rFonts w:ascii="Times New Roman" w:hAnsi="Times New Roman" w:cs="Times New Roman"/>
          <w:sz w:val="24"/>
          <w:szCs w:val="24"/>
        </w:rPr>
        <w:t xml:space="preserve">висновку експертизи визначає експертна організація (Виконавець) з урахуванням рекомендацій </w:t>
      </w:r>
      <w:r>
        <w:rPr>
          <w:rFonts w:ascii="Times New Roman" w:hAnsi="Times New Roman" w:cs="Times New Roman"/>
          <w:spacing w:val="-6"/>
          <w:sz w:val="24"/>
          <w:szCs w:val="24"/>
        </w:rPr>
        <w:t xml:space="preserve">Методики</w:t>
      </w:r>
      <w:r>
        <w:rPr>
          <w:rFonts w:ascii="Times New Roman" w:hAnsi="Times New Roman" w:eastAsia="Arial" w:cs="Times New Roman"/>
          <w:color w:val="000000"/>
          <w:sz w:val="24"/>
          <w:szCs w:val="24"/>
        </w:rPr>
        <w:t xml:space="preserve"> </w:t>
      </w:r>
      <w:r>
        <w:rPr>
          <w:rFonts w:ascii="Times New Roman" w:hAnsi="Times New Roman" w:cs="Times New Roman"/>
          <w:spacing w:val="-6"/>
          <w:sz w:val="24"/>
          <w:szCs w:val="24"/>
        </w:rPr>
        <w:t xml:space="preserve">проведення експертного обстеження (технічного діагностування) ліфтів. </w:t>
      </w:r>
      <w:r/>
    </w:p>
    <w:p>
      <w:pPr>
        <w:ind w:firstLine="567"/>
        <w:jc w:val="both"/>
        <w:spacing w:after="0" w:line="240" w:lineRule="auto"/>
        <w:rPr>
          <w:rFonts w:ascii="Times New Roman" w:hAnsi="Times New Roman" w:cs="Times New Roman"/>
          <w:b/>
          <w:i/>
          <w:sz w:val="24"/>
          <w:szCs w:val="24"/>
        </w:rPr>
      </w:pPr>
      <w:r>
        <w:rPr>
          <w:rFonts w:ascii="Times New Roman" w:hAnsi="Times New Roman" w:cs="Times New Roman"/>
          <w:b/>
          <w:i/>
          <w:sz w:val="24"/>
          <w:szCs w:val="24"/>
        </w:rPr>
      </w:r>
      <w:r/>
    </w:p>
    <w:p>
      <w:pPr>
        <w:ind w:firstLine="567"/>
        <w:jc w:val="both"/>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Виконання послуг дозволяється тільки спеціалізованим організаціям, які мають Дозвіл (Декларацію) </w:t>
      </w:r>
      <w:r>
        <w:rPr>
          <w:rFonts w:ascii="Times New Roman" w:hAnsi="Times New Roman" w:cs="Times New Roman"/>
          <w:b/>
          <w:i/>
          <w:sz w:val="24"/>
          <w:szCs w:val="24"/>
        </w:rPr>
        <w:t xml:space="preserve">Держпраці</w:t>
      </w:r>
      <w:r>
        <w:rPr>
          <w:rFonts w:ascii="Times New Roman" w:hAnsi="Times New Roman" w:cs="Times New Roman"/>
          <w:b/>
          <w:i/>
          <w:sz w:val="24"/>
          <w:szCs w:val="24"/>
        </w:rPr>
        <w:t xml:space="preserve">. (надати копію відповідного документу)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i/>
          <w:sz w:val="24"/>
          <w:szCs w:val="24"/>
          <w:lang w:eastAsia="ar-SA"/>
        </w:rPr>
        <w:t xml:space="preserve">5. Вимоги до виконання (надання) послуг</w:t>
      </w:r>
      <w:r>
        <w:rPr>
          <w:rFonts w:ascii="Times New Roman" w:hAnsi="Times New Roman" w:cs="Times New Roman"/>
          <w:sz w:val="24"/>
          <w:szCs w:val="24"/>
          <w:lang w:eastAsia="ar-SA"/>
        </w:rPr>
        <w:t xml:space="preserve">: </w:t>
      </w:r>
      <w:r/>
    </w:p>
    <w:p>
      <w:pPr>
        <w:jc w:val="both"/>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Послуги з проведення експертизи технічного стану ліфтів з наданням протоколів </w:t>
      </w:r>
      <w:r>
        <w:rPr>
          <w:rFonts w:ascii="Times New Roman" w:hAnsi="Times New Roman" w:cs="Times New Roman"/>
          <w:b/>
          <w:sz w:val="24"/>
          <w:szCs w:val="24"/>
          <w:lang w:eastAsia="ar-SA"/>
        </w:rPr>
        <w:t xml:space="preserve">електровимірювань</w:t>
      </w:r>
      <w:r>
        <w:rPr>
          <w:rFonts w:ascii="Times New Roman" w:hAnsi="Times New Roman" w:cs="Times New Roman"/>
          <w:b/>
          <w:sz w:val="24"/>
          <w:szCs w:val="24"/>
          <w:lang w:eastAsia="ar-SA"/>
        </w:rPr>
        <w:t xml:space="preserve"> надаються згідно:</w:t>
      </w:r>
      <w:r/>
    </w:p>
    <w:p>
      <w:pPr>
        <w:numPr>
          <w:ilvl w:val="0"/>
          <w:numId w:val="42"/>
        </w:numPr>
        <w:contextualSpacing/>
        <w:ind w:left="0" w:firstLine="567"/>
        <w:jc w:val="both"/>
        <w:spacing w:after="0" w:line="240" w:lineRule="auto"/>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lang w:eastAsia="ar-SA"/>
        </w:rPr>
      </w:pPr>
      <w:r>
        <w:rPr>
          <w:rFonts w:ascii="Times New Roman" w:hAnsi="Times New Roman" w:cs="Times New Roman"/>
          <w:bCs/>
          <w:sz w:val="24"/>
          <w:szCs w:val="24"/>
        </w:rPr>
        <w:t xml:space="preserve">Порядку проведення огляду, випробування та експертного обстеження (технічного діагностування) машин, механізмів, устаткування підвищеної небезпеки затвердженого постановою Кабінету Міністрів України від 26 травня 2004 р. N 687</w:t>
      </w:r>
      <w:r/>
    </w:p>
    <w:p>
      <w:pPr>
        <w:numPr>
          <w:ilvl w:val="0"/>
          <w:numId w:val="42"/>
        </w:numPr>
        <w:contextualSpacing/>
        <w:ind w:left="0" w:firstLine="567"/>
        <w:jc w:val="both"/>
        <w:spacing w:after="0" w:line="240" w:lineRule="auto"/>
        <w:rPr>
          <w:rFonts w:ascii="Times New Roman" w:hAnsi="Times New Roman" w:eastAsia="Arial" w:cs="Times New Roman"/>
          <w:sz w:val="24"/>
          <w:szCs w:val="24"/>
        </w:rPr>
      </w:pPr>
      <w:r>
        <w:rPr>
          <w:rFonts w:ascii="Times New Roman" w:hAnsi="Times New Roman" w:cs="Times New Roman"/>
          <w:sz w:val="24"/>
          <w:szCs w:val="24"/>
          <w:lang w:eastAsia="ar-SA"/>
        </w:rPr>
        <w:t xml:space="preserve">Методики проведення експертного обстеження (технічного діагностування) ліфтів ОМД 00120б/н. 001-2005</w:t>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sz w:val="24"/>
          <w:szCs w:val="24"/>
          <w:lang w:eastAsia="ar-SA"/>
        </w:rPr>
        <w:t xml:space="preserve">- ДСТУ EN 13015:2013 Технічне обслуговування ліфтів і ескалаторів. Норми для інструкцій з технічного обслуговування (EN 13015:2001+А1:2008, IDT)</w:t>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sz w:val="24"/>
          <w:szCs w:val="24"/>
          <w:lang w:eastAsia="ar-SA"/>
        </w:rPr>
        <w:t xml:space="preserve">- ДСТУ 7310:2013 Установки ліфтові. Ліфти класів I, II, III, IV, V та VI. Правила організовування, проведення та приймання монтувальних робіт - КД 36.1-001-2000</w:t>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sz w:val="24"/>
          <w:szCs w:val="24"/>
          <w:lang w:eastAsia="ar-SA"/>
        </w:rPr>
        <w:t xml:space="preserve">- «Положення про систему технічного обслуговування </w:t>
      </w:r>
      <w:r>
        <w:rPr>
          <w:rFonts w:ascii="Times New Roman" w:hAnsi="Times New Roman" w:cs="Times New Roman"/>
          <w:bCs/>
          <w:sz w:val="24"/>
          <w:szCs w:val="24"/>
          <w:lang w:eastAsia="ar-SA"/>
        </w:rPr>
        <w:t xml:space="preserve">та ремонту ліфтів</w:t>
      </w:r>
      <w:r>
        <w:rPr>
          <w:rFonts w:ascii="Times New Roman" w:hAnsi="Times New Roman" w:cs="Times New Roman"/>
          <w:sz w:val="24"/>
          <w:szCs w:val="24"/>
          <w:lang w:eastAsia="ar-SA"/>
        </w:rPr>
        <w:t xml:space="preserve"> в Україні» (затверджено Наказом Державного комітетом будівництва, архітектури та житлової політики України від 10.04.2000 №73) </w:t>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sz w:val="24"/>
          <w:szCs w:val="24"/>
          <w:lang w:eastAsia="ar-SA"/>
        </w:rPr>
        <w:t xml:space="preserve">- «Правил будови і безпечної експлуатації ліфтів» НПАОП 0.00-1.02.08 (затверджено Наказом Державного комітету України з промислової безпеки, охорони  праці та гірничого нагляду від 01.09.2008 №190) </w:t>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sz w:val="24"/>
          <w:szCs w:val="24"/>
          <w:lang w:eastAsia="ar-SA"/>
        </w:rPr>
        <w:t xml:space="preserve">- «Правил технічної експлуатації електроустановок споживачів» (затверджено Наказом Міністерства палива та енергетики України від 25.07.2006 №258) </w:t>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sz w:val="24"/>
          <w:szCs w:val="24"/>
          <w:lang w:eastAsia="ar-SA"/>
        </w:rPr>
        <w:t xml:space="preserve">- «Правилами безпечної експлуатації електроустановок споживачів» ДНАОП 0.00-1.21-98 (затверджено наказом Міністерство праці та соціальної політики від 09.01.1998 №4) </w:t>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sz w:val="24"/>
          <w:szCs w:val="24"/>
          <w:lang w:eastAsia="ar-SA"/>
        </w:rPr>
        <w:t xml:space="preserve">- Закону України «Про охорону праці»</w:t>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sz w:val="24"/>
          <w:szCs w:val="24"/>
          <w:lang w:eastAsia="ar-SA"/>
        </w:rPr>
        <w:t xml:space="preserve">- Наказ Міністерства будівництва, архітектури та житлово-комунального господарства України від 09.11.2006 р. № 369</w:t>
      </w:r>
      <w:r/>
    </w:p>
    <w:p>
      <w:pPr>
        <w:ind w:firstLine="567"/>
        <w:jc w:val="both"/>
        <w:spacing w:after="0" w:line="240" w:lineRule="auto"/>
        <w:rPr>
          <w:rFonts w:ascii="Times New Roman" w:hAnsi="Times New Roman" w:cs="Times New Roman"/>
          <w:sz w:val="24"/>
          <w:szCs w:val="24"/>
          <w:lang w:eastAsia="ar-SA"/>
        </w:rPr>
        <w:outlineLvl w:val="0"/>
      </w:pPr>
      <w:r>
        <w:rPr>
          <w:rFonts w:ascii="Times New Roman" w:hAnsi="Times New Roman" w:cs="Times New Roman"/>
          <w:sz w:val="24"/>
          <w:szCs w:val="24"/>
          <w:lang w:eastAsia="ar-SA"/>
        </w:rPr>
        <w:t xml:space="preserve">- Інших нормативно-правових актів.</w:t>
      </w:r>
      <w:r/>
    </w:p>
    <w:p>
      <w:pPr>
        <w:ind w:firstLine="567"/>
        <w:jc w:val="both"/>
        <w:spacing w:after="0" w:line="240" w:lineRule="auto"/>
        <w:shd w:val="clear" w:color="auto" w:fill="ffffff" w:themeFill="background1"/>
        <w:rPr>
          <w:rFonts w:ascii="Times New Roman" w:hAnsi="Times New Roman" w:cs="Times New Roman"/>
          <w:i/>
          <w:sz w:val="24"/>
          <w:szCs w:val="24"/>
          <w:lang w:eastAsia="ar-SA"/>
        </w:rPr>
      </w:pPr>
      <w:r>
        <w:rPr>
          <w:rFonts w:ascii="Times New Roman" w:hAnsi="Times New Roman" w:cs="Times New Roman"/>
          <w:i/>
          <w:sz w:val="24"/>
          <w:szCs w:val="24"/>
          <w:lang w:eastAsia="ar-SA"/>
        </w:rPr>
      </w:r>
      <w:r/>
    </w:p>
    <w:p>
      <w:pPr>
        <w:ind w:right="-1"/>
        <w:jc w:val="both"/>
        <w:spacing w:after="0" w:line="240" w:lineRule="auto"/>
        <w:widowControl w:val="off"/>
        <w:rPr>
          <w:rFonts w:ascii="Times New Roman" w:hAnsi="Times New Roman" w:cs="Times New Roman"/>
          <w:sz w:val="24"/>
          <w:szCs w:val="24"/>
        </w:rPr>
      </w:pPr>
      <w:r>
        <w:rPr>
          <w:rFonts w:ascii="Times New Roman" w:hAnsi="Times New Roman" w:cs="Times New Roman"/>
          <w:i/>
          <w:sz w:val="24"/>
          <w:szCs w:val="24"/>
          <w:lang w:eastAsia="ar-SA"/>
        </w:rPr>
        <w:t xml:space="preserve">6</w:t>
      </w:r>
      <w:r>
        <w:rPr>
          <w:rFonts w:ascii="Times New Roman" w:hAnsi="Times New Roman" w:cs="Times New Roman"/>
          <w:sz w:val="24"/>
          <w:szCs w:val="24"/>
          <w:lang w:eastAsia="ar-SA"/>
        </w:rPr>
        <w:t xml:space="preserve">. </w:t>
      </w:r>
      <w:r>
        <w:rPr>
          <w:rFonts w:ascii="Times New Roman" w:hAnsi="Times New Roman" w:cs="Times New Roman"/>
          <w:sz w:val="24"/>
          <w:szCs w:val="24"/>
        </w:rPr>
        <w:t xml:space="preserve">Замовник не вимагає від учасників документальне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цій технічній специфікації.</w:t>
      </w:r>
      <w:r/>
    </w:p>
    <w:p>
      <w:pPr>
        <w:ind w:right="-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43 666,67</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сорок три тисячі шістсот шістдесят шість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67 </w:t>
      </w:r>
      <w:r>
        <w:rPr>
          <w:rFonts w:ascii="Times New Roman" w:hAnsi="Times New Roman" w:eastAsia="Times New Roman" w:cs="Times New Roman"/>
          <w:sz w:val="24"/>
          <w:szCs w:val="24"/>
          <w:lang w:eastAsia="ru-RU"/>
        </w:rPr>
        <w:t xml:space="preserve">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5"/>
      <w:numFmt w:val="bullet"/>
      <w:isLgl w:val="false"/>
      <w:suff w:val="tab"/>
      <w:lvlText w:val="-"/>
      <w:lvlJc w:val="left"/>
      <w:pPr>
        <w:ind w:left="720" w:hanging="360"/>
      </w:pPr>
      <w:rPr>
        <w:rFonts w:hint="default"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8"/>
  </w:num>
  <w:num w:numId="4">
    <w:abstractNumId w:val="27"/>
  </w:num>
  <w:num w:numId="5">
    <w:abstractNumId w:val="7"/>
  </w:num>
  <w:num w:numId="6">
    <w:abstractNumId w:val="34"/>
  </w:num>
  <w:num w:numId="7">
    <w:abstractNumId w:val="11"/>
  </w:num>
  <w:num w:numId="8">
    <w:abstractNumId w:val="36"/>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5"/>
  </w:num>
  <w:num w:numId="17">
    <w:abstractNumId w:val="1"/>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3"/>
  </w:num>
  <w:num w:numId="32">
    <w:abstractNumId w:val="20"/>
  </w:num>
  <w:num w:numId="33">
    <w:abstractNumId w:val="17"/>
  </w:num>
  <w:num w:numId="34">
    <w:abstractNumId w:val="14"/>
  </w:num>
  <w:num w:numId="35">
    <w:abstractNumId w:val="38"/>
  </w:num>
  <w:num w:numId="36">
    <w:abstractNumId w:val="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161</cp:revision>
  <dcterms:created xsi:type="dcterms:W3CDTF">2022-11-01T12:47:00Z</dcterms:created>
  <dcterms:modified xsi:type="dcterms:W3CDTF">2024-05-17T11:55:55Z</dcterms:modified>
</cp:coreProperties>
</file>