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оптоволоконних з’єднувальних кабелів за ДК 021:2015: 32560000-6 Оптоволоконні матеріали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13</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6275</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оптоволоконних з’єднувальних кабелів за ДК 021:2015: 32560000-6 Оптоволоконні матеріали</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pPr>
            <w:r>
              <w:rPr>
                <w:b/>
                <w:bCs/>
              </w:rPr>
              <w:t xml:space="preserve">1</w:t>
            </w:r>
            <w:r/>
          </w:p>
        </w:tc>
        <w:tc>
          <w:tcPr>
            <w:tcW w:w="5670" w:type="dxa"/>
            <w:textDirection w:val="lrTb"/>
            <w:noWrap w:val="false"/>
          </w:tcPr>
          <w:p>
            <w:pPr>
              <w:pStyle w:val="736"/>
              <w:rPr>
                <w:b/>
                <w:bCs/>
              </w:rPr>
            </w:pPr>
            <w:r>
              <w:rPr>
                <w:b/>
                <w:bCs/>
                <w:shd w:val="clear" w:color="auto" w:fill="ffffff"/>
              </w:rPr>
              <w:t xml:space="preserve">Оптичний </w:t>
            </w:r>
            <w:r>
              <w:rPr>
                <w:b/>
                <w:bCs/>
                <w:shd w:val="clear" w:color="auto" w:fill="ffffff"/>
              </w:rPr>
              <w:t xml:space="preserve">патч</w:t>
            </w:r>
            <w:r>
              <w:rPr>
                <w:b/>
                <w:bCs/>
                <w:shd w:val="clear" w:color="auto" w:fill="ffffff"/>
              </w:rPr>
              <w:t xml:space="preserve">-корд </w:t>
            </w:r>
            <w:r>
              <w:rPr>
                <w:b/>
                <w:bCs/>
                <w:shd w:val="clear" w:color="auto" w:fill="ffffff"/>
                <w:lang w:val="en-US"/>
              </w:rPr>
              <w:t xml:space="preserve">LC</w:t>
            </w:r>
            <w:r>
              <w:rPr>
                <w:b/>
                <w:bCs/>
                <w:shd w:val="clear" w:color="auto" w:fill="ffffff"/>
              </w:rPr>
              <w:t xml:space="preserve">-</w:t>
            </w:r>
            <w:r>
              <w:rPr>
                <w:b/>
                <w:bCs/>
                <w:shd w:val="clear" w:color="auto" w:fill="ffffff"/>
                <w:lang w:val="en-US"/>
              </w:rPr>
              <w:t xml:space="preserve">LC</w:t>
            </w:r>
            <w:r/>
          </w:p>
        </w:tc>
        <w:tc>
          <w:tcPr>
            <w:tcW w:w="1701" w:type="dxa"/>
            <w:vAlign w:val="center"/>
            <w:textDirection w:val="lrTb"/>
            <w:noWrap w:val="false"/>
          </w:tcPr>
          <w:p>
            <w:pPr>
              <w:pStyle w:val="736"/>
              <w:jc w:val="center"/>
            </w:pPr>
            <w:r>
              <w:rPr>
                <w:b/>
                <w:bCs/>
              </w:rPr>
              <w:t xml:space="preserve">шт.</w:t>
            </w:r>
            <w:r/>
          </w:p>
        </w:tc>
        <w:tc>
          <w:tcPr>
            <w:tcW w:w="1701" w:type="dxa"/>
            <w:vAlign w:val="center"/>
            <w:textDirection w:val="lrTb"/>
            <w:noWrap w:val="false"/>
          </w:tcPr>
          <w:p>
            <w:pPr>
              <w:pStyle w:val="736"/>
              <w:jc w:val="center"/>
              <w:rPr>
                <w:b/>
                <w:bCs/>
              </w:rPr>
            </w:pPr>
            <w:r>
              <w:rPr>
                <w:b/>
                <w:bCs/>
              </w:rPr>
              <w:t xml:space="preserve">20</w:t>
            </w:r>
            <w:r/>
          </w:p>
        </w:tc>
      </w:tr>
      <w:tr>
        <w:trPr/>
        <w:tc>
          <w:tcPr>
            <w:tcW w:w="562" w:type="dxa"/>
            <w:vAlign w:val="center"/>
            <w:textDirection w:val="lrTb"/>
            <w:noWrap w:val="false"/>
          </w:tcPr>
          <w:p>
            <w:pPr>
              <w:pStyle w:val="736"/>
              <w:jc w:val="center"/>
              <w:rPr>
                <w:b/>
                <w:bCs/>
              </w:rPr>
            </w:pPr>
            <w:r>
              <w:rPr>
                <w:b/>
                <w:bCs/>
              </w:rPr>
              <w:t xml:space="preserve">2</w:t>
            </w:r>
            <w:r/>
          </w:p>
        </w:tc>
        <w:tc>
          <w:tcPr>
            <w:tcW w:w="5670" w:type="dxa"/>
            <w:textDirection w:val="lrTb"/>
            <w:noWrap w:val="false"/>
          </w:tcPr>
          <w:p>
            <w:pPr>
              <w:pStyle w:val="736"/>
              <w:rPr>
                <w:b/>
                <w:bCs/>
              </w:rPr>
            </w:pPr>
            <w:r>
              <w:rPr>
                <w:b/>
                <w:bCs/>
                <w:shd w:val="clear" w:color="auto" w:fill="ffffff"/>
              </w:rPr>
              <w:t xml:space="preserve">Оптичний </w:t>
            </w:r>
            <w:r>
              <w:rPr>
                <w:b/>
                <w:bCs/>
                <w:shd w:val="clear" w:color="auto" w:fill="ffffff"/>
              </w:rPr>
              <w:t xml:space="preserve">патч</w:t>
            </w:r>
            <w:r>
              <w:rPr>
                <w:b/>
                <w:bCs/>
                <w:shd w:val="clear" w:color="auto" w:fill="ffffff"/>
              </w:rPr>
              <w:t xml:space="preserve">-корд </w:t>
            </w:r>
            <w:r>
              <w:rPr>
                <w:b/>
                <w:bCs/>
                <w:shd w:val="clear" w:color="auto" w:fill="ffffff"/>
                <w:lang w:val="en-US"/>
              </w:rPr>
              <w:t xml:space="preserve">FC</w:t>
            </w:r>
            <w:r>
              <w:rPr>
                <w:b/>
                <w:bCs/>
                <w:shd w:val="clear" w:color="auto" w:fill="ffffff"/>
              </w:rPr>
              <w:t xml:space="preserve">-</w:t>
            </w:r>
            <w:r>
              <w:rPr>
                <w:b/>
                <w:bCs/>
                <w:shd w:val="clear" w:color="auto" w:fill="ffffff"/>
                <w:lang w:val="en-US"/>
              </w:rPr>
              <w:t xml:space="preserve">LC</w:t>
            </w:r>
            <w:r/>
          </w:p>
        </w:tc>
        <w:tc>
          <w:tcPr>
            <w:tcW w:w="1701" w:type="dxa"/>
            <w:vAlign w:val="center"/>
            <w:textDirection w:val="lrTb"/>
            <w:noWrap w:val="false"/>
          </w:tcPr>
          <w:p>
            <w:pPr>
              <w:pStyle w:val="736"/>
              <w:jc w:val="center"/>
              <w:rPr>
                <w:b/>
                <w:bCs/>
              </w:rPr>
            </w:pPr>
            <w:r>
              <w:rPr>
                <w:b/>
                <w:bCs/>
              </w:rPr>
              <w:t xml:space="preserve">шт.</w:t>
            </w:r>
            <w:r/>
          </w:p>
        </w:tc>
        <w:tc>
          <w:tcPr>
            <w:tcW w:w="1701" w:type="dxa"/>
            <w:vAlign w:val="center"/>
            <w:textDirection w:val="lrTb"/>
            <w:noWrap w:val="false"/>
          </w:tcPr>
          <w:p>
            <w:pPr>
              <w:pStyle w:val="736"/>
              <w:jc w:val="center"/>
              <w:rPr>
                <w:b/>
                <w:bCs/>
              </w:rPr>
            </w:pPr>
            <w:r>
              <w:rPr>
                <w:b/>
                <w:bCs/>
              </w:rPr>
              <w:t xml:space="preserve">20</w:t>
            </w:r>
            <w:r/>
          </w:p>
        </w:tc>
      </w:tr>
      <w:tr>
        <w:trPr/>
        <w:tc>
          <w:tcPr>
            <w:tcW w:w="562" w:type="dxa"/>
            <w:vAlign w:val="center"/>
            <w:textDirection w:val="lrTb"/>
            <w:noWrap w:val="false"/>
          </w:tcPr>
          <w:p>
            <w:pPr>
              <w:pStyle w:val="736"/>
              <w:jc w:val="center"/>
              <w:rPr>
                <w:b/>
                <w:bCs/>
              </w:rPr>
            </w:pPr>
            <w:r>
              <w:rPr>
                <w:b/>
                <w:bCs/>
              </w:rPr>
              <w:t xml:space="preserve">3</w:t>
            </w:r>
            <w:r/>
          </w:p>
        </w:tc>
        <w:tc>
          <w:tcPr>
            <w:tcW w:w="5670" w:type="dxa"/>
            <w:textDirection w:val="lrTb"/>
            <w:noWrap w:val="false"/>
          </w:tcPr>
          <w:p>
            <w:pPr>
              <w:pStyle w:val="736"/>
              <w:rPr>
                <w:b/>
                <w:bCs/>
              </w:rPr>
            </w:pPr>
            <w:r>
              <w:rPr>
                <w:b/>
                <w:bCs/>
                <w:shd w:val="clear" w:color="auto" w:fill="ffffff"/>
              </w:rPr>
              <w:t xml:space="preserve">Оптичний </w:t>
            </w:r>
            <w:r>
              <w:rPr>
                <w:b/>
                <w:bCs/>
                <w:shd w:val="clear" w:color="auto" w:fill="ffffff"/>
              </w:rPr>
              <w:t xml:space="preserve">патч</w:t>
            </w:r>
            <w:r>
              <w:rPr>
                <w:b/>
                <w:bCs/>
                <w:shd w:val="clear" w:color="auto" w:fill="ffffff"/>
              </w:rPr>
              <w:t xml:space="preserve">-корд </w:t>
            </w:r>
            <w:r>
              <w:rPr>
                <w:b/>
                <w:bCs/>
                <w:shd w:val="clear" w:color="auto" w:fill="ffffff"/>
                <w:lang w:val="en-US"/>
              </w:rPr>
              <w:t xml:space="preserve">SC</w:t>
            </w:r>
            <w:r>
              <w:rPr>
                <w:b/>
                <w:bCs/>
                <w:shd w:val="clear" w:color="auto" w:fill="ffffff"/>
              </w:rPr>
              <w:t xml:space="preserve">-</w:t>
            </w:r>
            <w:r>
              <w:rPr>
                <w:b/>
                <w:bCs/>
                <w:shd w:val="clear" w:color="auto" w:fill="ffffff"/>
                <w:lang w:val="en-US"/>
              </w:rPr>
              <w:t xml:space="preserve">LC</w:t>
            </w:r>
            <w:r/>
          </w:p>
        </w:tc>
        <w:tc>
          <w:tcPr>
            <w:tcW w:w="1701" w:type="dxa"/>
            <w:vAlign w:val="center"/>
            <w:textDirection w:val="lrTb"/>
            <w:noWrap w:val="false"/>
          </w:tcPr>
          <w:p>
            <w:pPr>
              <w:pStyle w:val="736"/>
              <w:jc w:val="center"/>
              <w:rPr>
                <w:b/>
                <w:bCs/>
              </w:rPr>
            </w:pPr>
            <w:r>
              <w:rPr>
                <w:b/>
                <w:bCs/>
              </w:rPr>
              <w:t xml:space="preserve">шт.</w:t>
            </w:r>
            <w:r/>
          </w:p>
        </w:tc>
        <w:tc>
          <w:tcPr>
            <w:tcW w:w="1701" w:type="dxa"/>
            <w:vAlign w:val="center"/>
            <w:textDirection w:val="lrTb"/>
            <w:noWrap w:val="false"/>
          </w:tcPr>
          <w:p>
            <w:pPr>
              <w:pStyle w:val="736"/>
              <w:jc w:val="center"/>
              <w:rPr>
                <w:b/>
                <w:bCs/>
              </w:rPr>
            </w:pPr>
            <w:r>
              <w:rPr>
                <w:b/>
                <w:bCs/>
              </w:rPr>
              <w:t xml:space="preserve">20</w:t>
            </w:r>
            <w:r/>
          </w:p>
        </w:tc>
      </w:tr>
    </w:tbl>
    <w:p>
      <w:pPr>
        <w:pStyle w:val="736"/>
        <w:jc w:val="both"/>
        <w:spacing w:after="0" w:line="240" w:lineRule="auto"/>
        <w:rPr>
          <w:b/>
          <w:bCs/>
          <w:i/>
          <w:iCs/>
          <w:lang w:eastAsia="ru-RU"/>
        </w:rPr>
      </w:pPr>
      <w:r>
        <w:rPr>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Пропозиція Учасника має містити чітке зазначення виробника, моделі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w:t>
      </w:r>
      <w:r>
        <w:rPr>
          <w:rFonts w:ascii="Times New Roman" w:hAnsi="Times New Roman" w:cs="Times New Roman"/>
          <w:sz w:val="24"/>
          <w:szCs w:val="24"/>
          <w:lang w:eastAsia="uk-UA"/>
        </w:rPr>
        <w:t xml:space="preserve">рт чи інструкція з експлуатації українською мовою, гарантійні талони.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Товар, що постачається повинен відповідати  вимогам діючого природоохоронного  законодавства, та мати відповідні дозволи.</w:t>
      </w:r>
      <w:r/>
    </w:p>
    <w:p>
      <w:pPr>
        <w:pStyle w:val="748"/>
        <w:jc w:val="both"/>
        <w:rPr>
          <w:rStyle w:val="758"/>
          <w:b/>
          <w:bCs/>
          <w:i/>
          <w:iCs/>
          <w:sz w:val="24"/>
          <w:szCs w:val="24"/>
        </w:rPr>
      </w:pPr>
      <w:r>
        <w:rPr>
          <w:rFonts w:ascii="Times New Roman" w:hAnsi="Times New Roman"/>
          <w:sz w:val="24"/>
          <w:szCs w:val="24"/>
        </w:rPr>
        <w:t xml:space="preserve">9. </w:t>
      </w:r>
      <w:bookmarkStart w:id="0" w:name="_Hlk163654049"/>
      <w:r>
        <w:rPr>
          <w:rStyle w:val="758"/>
          <w:sz w:val="24"/>
          <w:szCs w:val="24"/>
        </w:rPr>
        <w:t xml:space="preserve">Товар, що є предметом закупівлі, постачається у зібраному вигляді, готовим до використання </w:t>
      </w:r>
      <w:r>
        <w:rPr>
          <w:rStyle w:val="758"/>
          <w:b/>
          <w:bCs/>
          <w:i/>
          <w:iCs/>
          <w:sz w:val="24"/>
          <w:szCs w:val="24"/>
        </w:rPr>
        <w:t xml:space="preserve">(надати гарантійний лист).</w:t>
      </w:r>
      <w:bookmarkEnd w:id="0"/>
      <w:r/>
      <w:r/>
    </w:p>
    <w:p>
      <w:pPr>
        <w:pStyle w:val="748"/>
        <w:jc w:val="both"/>
        <w:rPr>
          <w:rStyle w:val="758"/>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pStyle w:val="748"/>
        <w:jc w:val="both"/>
        <w:rPr>
          <w:rStyle w:val="758"/>
          <w:sz w:val="24"/>
          <w:szCs w:val="24"/>
        </w:rPr>
      </w:pPr>
      <w:r>
        <w:rPr>
          <w:sz w:val="24"/>
          <w:szCs w:val="24"/>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28" w:type="dxa"/>
          <w:right w:w="28" w:type="dxa"/>
        </w:tblCellMar>
        <w:tblLook w:val="04A0" w:firstRow="1" w:lastRow="0" w:firstColumn="1" w:lastColumn="0" w:noHBand="0" w:noVBand="1"/>
      </w:tblPr>
      <w:tblGrid>
        <w:gridCol w:w="704"/>
        <w:gridCol w:w="2127"/>
        <w:gridCol w:w="10"/>
        <w:gridCol w:w="698"/>
        <w:gridCol w:w="10"/>
        <w:gridCol w:w="699"/>
        <w:gridCol w:w="5520"/>
      </w:tblGrid>
      <w:tr>
        <w:trPr>
          <w:cantSplit/>
          <w:jc w:val="center"/>
          <w:trHeight w:val="136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b/>
                <w:bCs/>
                <w:color w:val="221f1f"/>
                <w:sz w:val="24"/>
                <w:szCs w:val="24"/>
                <w:shd w:val="clear" w:color="auto" w:fill="ffffff"/>
              </w:rPr>
            </w:pPr>
            <w:r>
              <w:rPr>
                <w:rFonts w:ascii="Times New Roman" w:hAnsi="Times New Roman" w:cs="Times New Roman"/>
                <w:b/>
                <w:bCs/>
                <w:color w:val="221f1f"/>
                <w:sz w:val="24"/>
                <w:szCs w:val="24"/>
                <w:shd w:val="clear" w:color="auto" w:fill="ffffff"/>
              </w:rPr>
              <w:t xml:space="preserve">№</w:t>
            </w:r>
            <w:r/>
          </w:p>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bCs/>
                <w:color w:val="221f1f"/>
                <w:sz w:val="24"/>
                <w:szCs w:val="24"/>
                <w:shd w:val="clear" w:color="auto" w:fill="ffffff"/>
              </w:rPr>
              <w:t xml:space="preserve">п/п</w:t>
            </w:r>
            <w:r/>
          </w:p>
        </w:tc>
        <w:tc>
          <w:tcPr>
            <w:tcBorders>
              <w:top w:val="single" w:color="auto" w:sz="4" w:space="0"/>
              <w:left w:val="single" w:color="auto" w:sz="4" w:space="0"/>
              <w:bottom w:val="single" w:color="auto" w:sz="4" w:space="0"/>
              <w:right w:val="single" w:color="auto" w:sz="4" w:space="0"/>
            </w:tcBorders>
            <w:tcW w:w="2127" w:type="dxa"/>
            <w:vAlign w:val="center"/>
            <w:textDirection w:val="lrTb"/>
            <w:noWrap w:val="false"/>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Назва</w:t>
            </w:r>
            <w:r/>
          </w:p>
        </w:tc>
        <w:tc>
          <w:tcPr>
            <w:gridSpan w:val="2"/>
            <w:tcBorders>
              <w:top w:val="single" w:color="auto" w:sz="4" w:space="0"/>
              <w:left w:val="single" w:color="auto" w:sz="4" w:space="0"/>
              <w:bottom w:val="single" w:color="auto" w:sz="4" w:space="0"/>
              <w:right w:val="single" w:color="auto" w:sz="4" w:space="0"/>
            </w:tcBorders>
            <w:tcW w:w="708" w:type="dxa"/>
            <w:textDirection w:val="btLr"/>
            <w:noWrap w:val="false"/>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Одиниця виміру</w:t>
            </w:r>
            <w:r/>
          </w:p>
        </w:tc>
        <w:tc>
          <w:tcPr>
            <w:gridSpan w:val="2"/>
            <w:tcBorders>
              <w:top w:val="single" w:color="auto" w:sz="4" w:space="0"/>
              <w:left w:val="single" w:color="auto" w:sz="4" w:space="0"/>
              <w:bottom w:val="single" w:color="auto" w:sz="4" w:space="0"/>
              <w:right w:val="single" w:color="auto" w:sz="4" w:space="0"/>
            </w:tcBorders>
            <w:tcW w:w="709" w:type="dxa"/>
            <w:vAlign w:val="center"/>
            <w:textDirection w:val="btLr"/>
            <w:noWrap w:val="false"/>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Кількість</w:t>
            </w:r>
            <w:r/>
          </w:p>
        </w:tc>
        <w:tc>
          <w:tcPr>
            <w:tcBorders>
              <w:top w:val="single" w:color="auto" w:sz="4" w:space="0"/>
              <w:left w:val="single" w:color="auto" w:sz="4" w:space="0"/>
              <w:bottom w:val="single" w:color="auto" w:sz="4" w:space="0"/>
              <w:right w:val="single" w:color="auto" w:sz="4" w:space="0"/>
            </w:tcBorders>
            <w:tcW w:w="5520" w:type="dxa"/>
            <w:vAlign w:val="center"/>
            <w:textDirection w:val="lrTb"/>
            <w:noWrap/>
          </w:tcPr>
          <w:p>
            <w:pPr>
              <w:spacing w:after="0" w:line="240" w:lineRule="auto"/>
              <w:rPr>
                <w:rFonts w:ascii="Times New Roman" w:hAnsi="Times New Roman" w:cs="Times New Roman"/>
                <w:b/>
                <w:color w:val="221f1f"/>
                <w:sz w:val="24"/>
                <w:szCs w:val="24"/>
                <w:shd w:val="clear" w:color="auto" w:fill="ffffff"/>
              </w:rPr>
            </w:pPr>
            <w:r>
              <w:rPr>
                <w:rFonts w:ascii="Times New Roman" w:hAnsi="Times New Roman" w:cs="Times New Roman"/>
                <w:b/>
                <w:color w:val="221f1f"/>
                <w:sz w:val="24"/>
                <w:szCs w:val="24"/>
                <w:shd w:val="clear" w:color="auto" w:fill="ffffff"/>
              </w:rPr>
              <w:t xml:space="preserve">Технічні та якісні вимоги</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6</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Оптичний </w:t>
            </w:r>
            <w:r>
              <w:rPr>
                <w:rFonts w:ascii="Times New Roman" w:hAnsi="Times New Roman" w:cs="Times New Roman"/>
                <w:color w:val="221f1f"/>
                <w:sz w:val="24"/>
                <w:szCs w:val="24"/>
                <w:shd w:val="clear" w:color="auto" w:fill="ffffff"/>
              </w:rPr>
              <w:t xml:space="preserve">патч</w:t>
            </w:r>
            <w:r>
              <w:rPr>
                <w:rFonts w:ascii="Times New Roman" w:hAnsi="Times New Roman" w:cs="Times New Roman"/>
                <w:color w:val="221f1f"/>
                <w:sz w:val="24"/>
                <w:szCs w:val="24"/>
                <w:shd w:val="clear" w:color="auto" w:fill="ffffff"/>
              </w:rPr>
              <w:t xml:space="preserve">-корд </w:t>
            </w:r>
            <w:r>
              <w:rPr>
                <w:rFonts w:ascii="Times New Roman" w:hAnsi="Times New Roman" w:cs="Times New Roman"/>
                <w:color w:val="221f1f"/>
                <w:sz w:val="24"/>
                <w:szCs w:val="24"/>
                <w:shd w:val="clear" w:color="auto" w:fill="ffffff"/>
                <w:lang w:val="en-US"/>
              </w:rPr>
              <w:t xml:space="preserve">LC</w:t>
            </w:r>
            <w:r>
              <w:rPr>
                <w:rFonts w:ascii="Times New Roman" w:hAnsi="Times New Roman" w:cs="Times New Roman"/>
                <w:color w:val="221f1f"/>
                <w:sz w:val="24"/>
                <w:szCs w:val="24"/>
                <w:shd w:val="clear" w:color="auto" w:fill="ffffff"/>
              </w:rPr>
              <w:t xml:space="preserve">-</w:t>
            </w:r>
            <w:r>
              <w:rPr>
                <w:rFonts w:ascii="Times New Roman" w:hAnsi="Times New Roman" w:cs="Times New Roman"/>
                <w:color w:val="221f1f"/>
                <w:sz w:val="24"/>
                <w:szCs w:val="24"/>
                <w:shd w:val="clear" w:color="auto" w:fill="ffffff"/>
                <w:lang w:val="en-US"/>
              </w:rPr>
              <w:t xml:space="preserve">LC</w:t>
            </w:r>
            <w:r>
              <w:rPr>
                <w:rFonts w:ascii="Times New Roman" w:hAnsi="Times New Roman" w:cs="Times New Roman"/>
                <w:color w:val="221f1f"/>
                <w:sz w:val="24"/>
                <w:szCs w:val="24"/>
                <w:shd w:val="clear" w:color="auto" w:fill="ffffff"/>
              </w:rPr>
              <w:t xml:space="preserve"> </w:t>
            </w:r>
            <w:r>
              <w:rPr>
                <w:rFonts w:ascii="Times New Roman" w:hAnsi="Times New Roman" w:cs="Times New Roman"/>
                <w:color w:val="221f1f"/>
                <w:sz w:val="24"/>
                <w:szCs w:val="24"/>
                <w:shd w:val="clear" w:color="auto" w:fill="ffffff"/>
                <w:lang w:val="en-US"/>
              </w:rPr>
              <w:t xml:space="preserve">Duplex</w:t>
            </w:r>
            <w:r>
              <w:rPr>
                <w:rFonts w:ascii="Times New Roman" w:hAnsi="Times New Roman" w:cs="Times New Roman"/>
                <w:color w:val="221f1f"/>
                <w:sz w:val="24"/>
                <w:szCs w:val="24"/>
                <w:shd w:val="clear" w:color="auto" w:fill="ffffff"/>
              </w:rPr>
              <w:t xml:space="preserve"> (SM) 5м</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шт</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20</w:t>
            </w:r>
            <w:r/>
          </w:p>
        </w:tc>
        <w:tc>
          <w:tcPr>
            <w:tcBorders>
              <w:top w:val="single" w:color="auto" w:sz="4" w:space="0"/>
              <w:left w:val="single" w:color="auto" w:sz="4" w:space="0"/>
              <w:bottom w:val="single" w:color="auto" w:sz="4" w:space="0"/>
              <w:right w:val="single" w:color="auto" w:sz="4" w:space="0"/>
            </w:tcBorders>
            <w:tcW w:w="5520" w:type="dxa"/>
            <w:textDirection w:val="lrTb"/>
            <w:noWrap/>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 </w:t>
            </w:r>
            <w:r>
              <w:rPr>
                <w:rFonts w:ascii="Times New Roman" w:hAnsi="Times New Roman" w:cs="Times New Roman"/>
                <w:color w:val="221f1f"/>
                <w:sz w:val="24"/>
                <w:szCs w:val="24"/>
                <w:shd w:val="clear" w:color="auto" w:fill="ffffff"/>
                <w:lang w:val="en-US"/>
              </w:rPr>
              <w:t xml:space="preserve">LC</w:t>
            </w:r>
            <w:r>
              <w:rPr>
                <w:rFonts w:ascii="Times New Roman" w:hAnsi="Times New Roman" w:cs="Times New Roman"/>
                <w:color w:val="221f1f"/>
                <w:sz w:val="24"/>
                <w:szCs w:val="24"/>
                <w:shd w:val="clear" w:color="auto" w:fill="ffffff"/>
              </w:rPr>
              <w:t xml:space="preserve">-</w:t>
            </w:r>
            <w:r>
              <w:rPr>
                <w:rFonts w:ascii="Times New Roman" w:hAnsi="Times New Roman" w:cs="Times New Roman"/>
                <w:color w:val="221f1f"/>
                <w:sz w:val="24"/>
                <w:szCs w:val="24"/>
                <w:shd w:val="clear" w:color="auto" w:fill="ffffff"/>
                <w:lang w:val="en-US"/>
              </w:rPr>
              <w:t xml:space="preserve">LC</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волокна – S</w:t>
            </w:r>
            <w:r>
              <w:rPr>
                <w:rFonts w:ascii="Times New Roman" w:hAnsi="Times New Roman" w:cs="Times New Roman"/>
                <w:color w:val="221f1f"/>
                <w:sz w:val="24"/>
                <w:szCs w:val="24"/>
                <w:shd w:val="clear" w:color="auto" w:fill="ffffff"/>
                <w:lang w:val="en-US"/>
              </w:rPr>
              <w:t xml:space="preserve">M</w:t>
            </w:r>
            <w:r>
              <w:rPr>
                <w:rFonts w:ascii="Times New Roman" w:hAnsi="Times New Roman" w:cs="Times New Roman"/>
                <w:color w:val="221f1f"/>
                <w:sz w:val="24"/>
                <w:szCs w:val="24"/>
                <w:shd w:val="clear" w:color="auto" w:fill="ffffff"/>
              </w:rPr>
              <w:t xml:space="preserve"> </w:t>
            </w:r>
            <w:r>
              <w:rPr>
                <w:rFonts w:ascii="Times New Roman" w:hAnsi="Times New Roman" w:cs="Times New Roman"/>
                <w:color w:val="221f1f"/>
                <w:sz w:val="24"/>
                <w:szCs w:val="24"/>
                <w:shd w:val="clear" w:color="auto" w:fill="ffffff"/>
              </w:rPr>
              <w:t xml:space="preserve">single-mode</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Полірування – </w:t>
            </w:r>
            <w:r>
              <w:rPr>
                <w:rFonts w:ascii="Times New Roman" w:hAnsi="Times New Roman" w:cs="Times New Roman"/>
                <w:color w:val="221f1f"/>
                <w:sz w:val="24"/>
                <w:szCs w:val="24"/>
                <w:shd w:val="clear" w:color="auto" w:fill="ffffff"/>
                <w:lang w:val="en-US"/>
              </w:rPr>
              <w:t xml:space="preserve">UPC</w:t>
            </w:r>
            <w:r>
              <w:rPr>
                <w:rFonts w:ascii="Times New Roman" w:hAnsi="Times New Roman" w:cs="Times New Roman"/>
                <w:color w:val="221f1f"/>
                <w:sz w:val="24"/>
                <w:szCs w:val="24"/>
                <w:shd w:val="clear" w:color="auto" w:fill="ffffff"/>
              </w:rPr>
              <w:t xml:space="preserve">-</w:t>
            </w:r>
            <w:r>
              <w:rPr>
                <w:rFonts w:ascii="Times New Roman" w:hAnsi="Times New Roman" w:cs="Times New Roman"/>
                <w:color w:val="221f1f"/>
                <w:sz w:val="24"/>
                <w:szCs w:val="24"/>
                <w:shd w:val="clear" w:color="auto" w:fill="ffffff"/>
                <w:lang w:val="en-US"/>
              </w:rPr>
              <w:t xml:space="preserve">UPC</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Довжина – 5 метри.</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lang w:val="en-US"/>
              </w:rPr>
            </w:pPr>
            <w:r>
              <w:rPr>
                <w:rFonts w:ascii="Times New Roman" w:hAnsi="Times New Roman" w:cs="Times New Roman"/>
                <w:color w:val="221f1f"/>
                <w:sz w:val="24"/>
                <w:szCs w:val="24"/>
                <w:shd w:val="clear" w:color="auto" w:fill="ffffff"/>
                <w:lang w:val="en-US"/>
              </w:rPr>
              <w:t xml:space="preserve">7</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Оптичний </w:t>
            </w:r>
            <w:r>
              <w:rPr>
                <w:rFonts w:ascii="Times New Roman" w:hAnsi="Times New Roman" w:cs="Times New Roman"/>
                <w:color w:val="221f1f"/>
                <w:sz w:val="24"/>
                <w:szCs w:val="24"/>
                <w:shd w:val="clear" w:color="auto" w:fill="ffffff"/>
              </w:rPr>
              <w:t xml:space="preserve">патч</w:t>
            </w:r>
            <w:r>
              <w:rPr>
                <w:rFonts w:ascii="Times New Roman" w:hAnsi="Times New Roman" w:cs="Times New Roman"/>
                <w:color w:val="221f1f"/>
                <w:sz w:val="24"/>
                <w:szCs w:val="24"/>
                <w:shd w:val="clear" w:color="auto" w:fill="ffffff"/>
              </w:rPr>
              <w:t xml:space="preserve">-корд </w:t>
            </w:r>
            <w:r>
              <w:rPr>
                <w:rFonts w:ascii="Times New Roman" w:hAnsi="Times New Roman" w:cs="Times New Roman"/>
                <w:color w:val="221f1f"/>
                <w:sz w:val="24"/>
                <w:szCs w:val="24"/>
                <w:shd w:val="clear" w:color="auto" w:fill="ffffff"/>
                <w:lang w:val="en-US"/>
              </w:rPr>
              <w:t xml:space="preserve">FC</w:t>
            </w:r>
            <w:r>
              <w:rPr>
                <w:rFonts w:ascii="Times New Roman" w:hAnsi="Times New Roman" w:cs="Times New Roman"/>
                <w:color w:val="221f1f"/>
                <w:sz w:val="24"/>
                <w:szCs w:val="24"/>
                <w:shd w:val="clear" w:color="auto" w:fill="ffffff"/>
              </w:rPr>
              <w:t xml:space="preserve">-</w:t>
            </w:r>
            <w:r>
              <w:rPr>
                <w:rFonts w:ascii="Times New Roman" w:hAnsi="Times New Roman" w:cs="Times New Roman"/>
                <w:color w:val="221f1f"/>
                <w:sz w:val="24"/>
                <w:szCs w:val="24"/>
                <w:shd w:val="clear" w:color="auto" w:fill="ffffff"/>
                <w:lang w:val="en-US"/>
              </w:rPr>
              <w:t xml:space="preserve">LC</w:t>
            </w:r>
            <w:r>
              <w:rPr>
                <w:rFonts w:ascii="Times New Roman" w:hAnsi="Times New Roman" w:cs="Times New Roman"/>
                <w:color w:val="221f1f"/>
                <w:sz w:val="24"/>
                <w:szCs w:val="24"/>
                <w:shd w:val="clear" w:color="auto" w:fill="ffffff"/>
              </w:rPr>
              <w:t xml:space="preserve"> </w:t>
            </w:r>
            <w:r>
              <w:rPr>
                <w:rFonts w:ascii="Times New Roman" w:hAnsi="Times New Roman" w:cs="Times New Roman"/>
                <w:color w:val="221f1f"/>
                <w:sz w:val="24"/>
                <w:szCs w:val="24"/>
                <w:shd w:val="clear" w:color="auto" w:fill="ffffff"/>
                <w:lang w:val="en-US"/>
              </w:rPr>
              <w:t xml:space="preserve">Duplex</w:t>
            </w:r>
            <w:r>
              <w:rPr>
                <w:rFonts w:ascii="Times New Roman" w:hAnsi="Times New Roman" w:cs="Times New Roman"/>
                <w:color w:val="221f1f"/>
                <w:sz w:val="24"/>
                <w:szCs w:val="24"/>
                <w:shd w:val="clear" w:color="auto" w:fill="ffffff"/>
              </w:rPr>
              <w:t xml:space="preserve"> (SM) 5м</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шт</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lang w:val="en-US"/>
              </w:rPr>
            </w:pPr>
            <w:r>
              <w:rPr>
                <w:rFonts w:ascii="Times New Roman" w:hAnsi="Times New Roman" w:cs="Times New Roman"/>
                <w:color w:val="221f1f"/>
                <w:sz w:val="24"/>
                <w:szCs w:val="24"/>
                <w:shd w:val="clear" w:color="auto" w:fill="ffffff"/>
                <w:lang w:val="en-US"/>
              </w:rPr>
              <w:t xml:space="preserve">20</w:t>
            </w:r>
            <w:r/>
          </w:p>
        </w:tc>
        <w:tc>
          <w:tcPr>
            <w:tcBorders>
              <w:top w:val="single" w:color="auto" w:sz="4" w:space="0"/>
              <w:left w:val="single" w:color="auto" w:sz="4" w:space="0"/>
              <w:bottom w:val="single" w:color="auto" w:sz="4" w:space="0"/>
              <w:right w:val="single" w:color="auto" w:sz="4" w:space="0"/>
            </w:tcBorders>
            <w:tcW w:w="5520" w:type="dxa"/>
            <w:textDirection w:val="lrTb"/>
            <w:noWrap/>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 </w:t>
            </w:r>
            <w:r>
              <w:rPr>
                <w:rFonts w:ascii="Times New Roman" w:hAnsi="Times New Roman" w:cs="Times New Roman"/>
                <w:color w:val="221f1f"/>
                <w:sz w:val="24"/>
                <w:szCs w:val="24"/>
                <w:shd w:val="clear" w:color="auto" w:fill="ffffff"/>
                <w:lang w:val="en-US"/>
              </w:rPr>
              <w:t xml:space="preserve">FC</w:t>
            </w:r>
            <w:r>
              <w:rPr>
                <w:rFonts w:ascii="Times New Roman" w:hAnsi="Times New Roman" w:cs="Times New Roman"/>
                <w:color w:val="221f1f"/>
                <w:sz w:val="24"/>
                <w:szCs w:val="24"/>
                <w:shd w:val="clear" w:color="auto" w:fill="ffffff"/>
              </w:rPr>
              <w:t xml:space="preserve">-</w:t>
            </w:r>
            <w:r>
              <w:rPr>
                <w:rFonts w:ascii="Times New Roman" w:hAnsi="Times New Roman" w:cs="Times New Roman"/>
                <w:color w:val="221f1f"/>
                <w:sz w:val="24"/>
                <w:szCs w:val="24"/>
                <w:shd w:val="clear" w:color="auto" w:fill="ffffff"/>
                <w:lang w:val="en-US"/>
              </w:rPr>
              <w:t xml:space="preserve">LC</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волокна – S</w:t>
            </w:r>
            <w:r>
              <w:rPr>
                <w:rFonts w:ascii="Times New Roman" w:hAnsi="Times New Roman" w:cs="Times New Roman"/>
                <w:color w:val="221f1f"/>
                <w:sz w:val="24"/>
                <w:szCs w:val="24"/>
                <w:shd w:val="clear" w:color="auto" w:fill="ffffff"/>
                <w:lang w:val="en-US"/>
              </w:rPr>
              <w:t xml:space="preserve">M</w:t>
            </w:r>
            <w:r>
              <w:rPr>
                <w:rFonts w:ascii="Times New Roman" w:hAnsi="Times New Roman" w:cs="Times New Roman"/>
                <w:color w:val="221f1f"/>
                <w:sz w:val="24"/>
                <w:szCs w:val="24"/>
                <w:shd w:val="clear" w:color="auto" w:fill="ffffff"/>
              </w:rPr>
              <w:t xml:space="preserve"> </w:t>
            </w:r>
            <w:r>
              <w:rPr>
                <w:rFonts w:ascii="Times New Roman" w:hAnsi="Times New Roman" w:cs="Times New Roman"/>
                <w:color w:val="221f1f"/>
                <w:sz w:val="24"/>
                <w:szCs w:val="24"/>
                <w:shd w:val="clear" w:color="auto" w:fill="ffffff"/>
              </w:rPr>
              <w:t xml:space="preserve">single-mode</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Полірування – </w:t>
            </w:r>
            <w:r>
              <w:rPr>
                <w:rFonts w:ascii="Times New Roman" w:hAnsi="Times New Roman" w:cs="Times New Roman"/>
                <w:color w:val="221f1f"/>
                <w:sz w:val="24"/>
                <w:szCs w:val="24"/>
                <w:shd w:val="clear" w:color="auto" w:fill="ffffff"/>
                <w:lang w:val="en-US"/>
              </w:rPr>
              <w:t xml:space="preserve">UPC</w:t>
            </w:r>
            <w:r>
              <w:rPr>
                <w:rFonts w:ascii="Times New Roman" w:hAnsi="Times New Roman" w:cs="Times New Roman"/>
                <w:color w:val="221f1f"/>
                <w:sz w:val="24"/>
                <w:szCs w:val="24"/>
                <w:shd w:val="clear" w:color="auto" w:fill="ffffff"/>
              </w:rPr>
              <w:t xml:space="preserve">-</w:t>
            </w:r>
            <w:r>
              <w:rPr>
                <w:rFonts w:ascii="Times New Roman" w:hAnsi="Times New Roman" w:cs="Times New Roman"/>
                <w:color w:val="221f1f"/>
                <w:sz w:val="24"/>
                <w:szCs w:val="24"/>
                <w:shd w:val="clear" w:color="auto" w:fill="ffffff"/>
                <w:lang w:val="en-US"/>
              </w:rPr>
              <w:t xml:space="preserve">UPC</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Довжина – 5 метри.</w:t>
            </w:r>
            <w:r/>
          </w:p>
        </w:tc>
      </w:tr>
      <w:tr>
        <w:trPr>
          <w:jc w:val="center"/>
          <w:trHeight w:val="737"/>
        </w:trPr>
        <w:tc>
          <w:tcPr>
            <w:tcBorders>
              <w:top w:val="single" w:color="auto" w:sz="4" w:space="0"/>
              <w:left w:val="single" w:color="auto" w:sz="4" w:space="0"/>
              <w:bottom w:val="single" w:color="auto" w:sz="4" w:space="0"/>
              <w:right w:val="single" w:color="auto" w:sz="4" w:space="0"/>
            </w:tcBorders>
            <w:tcW w:w="704"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lang w:val="en-US"/>
              </w:rPr>
            </w:pPr>
            <w:r>
              <w:rPr>
                <w:rFonts w:ascii="Times New Roman" w:hAnsi="Times New Roman" w:cs="Times New Roman"/>
                <w:color w:val="221f1f"/>
                <w:sz w:val="24"/>
                <w:szCs w:val="24"/>
                <w:shd w:val="clear" w:color="auto" w:fill="ffffff"/>
                <w:lang w:val="en-US"/>
              </w:rPr>
              <w:t xml:space="preserve">8</w:t>
            </w:r>
            <w:r/>
          </w:p>
        </w:tc>
        <w:tc>
          <w:tcPr>
            <w:gridSpan w:val="2"/>
            <w:tcBorders>
              <w:top w:val="single" w:color="auto" w:sz="4" w:space="0"/>
              <w:left w:val="single" w:color="auto" w:sz="4" w:space="0"/>
              <w:bottom w:val="single" w:color="auto" w:sz="4" w:space="0"/>
              <w:right w:val="single" w:color="auto" w:sz="4" w:space="0"/>
            </w:tcBorders>
            <w:tcW w:w="2137"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Оптичний </w:t>
            </w:r>
            <w:r>
              <w:rPr>
                <w:rFonts w:ascii="Times New Roman" w:hAnsi="Times New Roman" w:cs="Times New Roman"/>
                <w:color w:val="221f1f"/>
                <w:sz w:val="24"/>
                <w:szCs w:val="24"/>
                <w:shd w:val="clear" w:color="auto" w:fill="ffffff"/>
              </w:rPr>
              <w:t xml:space="preserve">патч</w:t>
            </w:r>
            <w:r>
              <w:rPr>
                <w:rFonts w:ascii="Times New Roman" w:hAnsi="Times New Roman" w:cs="Times New Roman"/>
                <w:color w:val="221f1f"/>
                <w:sz w:val="24"/>
                <w:szCs w:val="24"/>
                <w:shd w:val="clear" w:color="auto" w:fill="ffffff"/>
              </w:rPr>
              <w:t xml:space="preserve">-корд </w:t>
            </w:r>
            <w:r>
              <w:rPr>
                <w:rFonts w:ascii="Times New Roman" w:hAnsi="Times New Roman" w:cs="Times New Roman"/>
                <w:color w:val="221f1f"/>
                <w:sz w:val="24"/>
                <w:szCs w:val="24"/>
                <w:shd w:val="clear" w:color="auto" w:fill="ffffff"/>
                <w:lang w:val="en-US"/>
              </w:rPr>
              <w:t xml:space="preserve">SC</w:t>
            </w:r>
            <w:r>
              <w:rPr>
                <w:rFonts w:ascii="Times New Roman" w:hAnsi="Times New Roman" w:cs="Times New Roman"/>
                <w:color w:val="221f1f"/>
                <w:sz w:val="24"/>
                <w:szCs w:val="24"/>
                <w:shd w:val="clear" w:color="auto" w:fill="ffffff"/>
              </w:rPr>
              <w:t xml:space="preserve">-</w:t>
            </w:r>
            <w:r>
              <w:rPr>
                <w:rFonts w:ascii="Times New Roman" w:hAnsi="Times New Roman" w:cs="Times New Roman"/>
                <w:color w:val="221f1f"/>
                <w:sz w:val="24"/>
                <w:szCs w:val="24"/>
                <w:shd w:val="clear" w:color="auto" w:fill="ffffff"/>
                <w:lang w:val="en-US"/>
              </w:rPr>
              <w:t xml:space="preserve">LC</w:t>
            </w:r>
            <w:r>
              <w:rPr>
                <w:rFonts w:ascii="Times New Roman" w:hAnsi="Times New Roman" w:cs="Times New Roman"/>
                <w:color w:val="221f1f"/>
                <w:sz w:val="24"/>
                <w:szCs w:val="24"/>
                <w:shd w:val="clear" w:color="auto" w:fill="ffffff"/>
              </w:rPr>
              <w:t xml:space="preserve"> </w:t>
            </w:r>
            <w:r>
              <w:rPr>
                <w:rFonts w:ascii="Times New Roman" w:hAnsi="Times New Roman" w:cs="Times New Roman"/>
                <w:color w:val="221f1f"/>
                <w:sz w:val="24"/>
                <w:szCs w:val="24"/>
                <w:shd w:val="clear" w:color="auto" w:fill="ffffff"/>
                <w:lang w:val="en-US"/>
              </w:rPr>
              <w:t xml:space="preserve">Duplex</w:t>
            </w:r>
            <w:r>
              <w:rPr>
                <w:rFonts w:ascii="Times New Roman" w:hAnsi="Times New Roman" w:cs="Times New Roman"/>
                <w:color w:val="221f1f"/>
                <w:sz w:val="24"/>
                <w:szCs w:val="24"/>
                <w:shd w:val="clear" w:color="auto" w:fill="ffffff"/>
              </w:rPr>
              <w:t xml:space="preserve"> (SM) 5м</w:t>
            </w:r>
            <w:r/>
          </w:p>
        </w:tc>
        <w:tc>
          <w:tcPr>
            <w:gridSpan w:val="2"/>
            <w:tcBorders>
              <w:top w:val="single" w:color="auto" w:sz="4" w:space="0"/>
              <w:left w:val="single" w:color="auto" w:sz="4" w:space="0"/>
              <w:bottom w:val="single" w:color="auto" w:sz="4" w:space="0"/>
              <w:right w:val="single" w:color="auto" w:sz="4" w:space="0"/>
            </w:tcBorders>
            <w:tcW w:w="708"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шт</w:t>
            </w:r>
            <w:r/>
          </w:p>
        </w:tc>
        <w:tc>
          <w:tcPr>
            <w:tcBorders>
              <w:top w:val="single" w:color="auto" w:sz="4" w:space="0"/>
              <w:left w:val="single" w:color="auto" w:sz="4" w:space="0"/>
              <w:bottom w:val="single" w:color="auto" w:sz="4" w:space="0"/>
              <w:right w:val="single" w:color="auto" w:sz="4" w:space="0"/>
            </w:tcBorders>
            <w:tcW w:w="699" w:type="dxa"/>
            <w:vAlign w:val="center"/>
            <w:textDirection w:val="lrTb"/>
            <w:noWrap w:val="false"/>
          </w:tcPr>
          <w:p>
            <w:pPr>
              <w:spacing w:after="0" w:line="240" w:lineRule="auto"/>
              <w:rPr>
                <w:rFonts w:ascii="Times New Roman" w:hAnsi="Times New Roman" w:cs="Times New Roman"/>
                <w:color w:val="221f1f"/>
                <w:sz w:val="24"/>
                <w:szCs w:val="24"/>
                <w:shd w:val="clear" w:color="auto" w:fill="ffffff"/>
                <w:lang w:val="en-US"/>
              </w:rPr>
            </w:pPr>
            <w:r>
              <w:rPr>
                <w:rFonts w:ascii="Times New Roman" w:hAnsi="Times New Roman" w:cs="Times New Roman"/>
                <w:color w:val="221f1f"/>
                <w:sz w:val="24"/>
                <w:szCs w:val="24"/>
                <w:shd w:val="clear" w:color="auto" w:fill="ffffff"/>
                <w:lang w:val="en-US"/>
              </w:rPr>
              <w:t xml:space="preserve">20</w:t>
            </w:r>
            <w:r/>
          </w:p>
        </w:tc>
        <w:tc>
          <w:tcPr>
            <w:tcBorders>
              <w:top w:val="single" w:color="auto" w:sz="4" w:space="0"/>
              <w:left w:val="single" w:color="auto" w:sz="4" w:space="0"/>
              <w:bottom w:val="single" w:color="auto" w:sz="4" w:space="0"/>
              <w:right w:val="single" w:color="auto" w:sz="4" w:space="0"/>
            </w:tcBorders>
            <w:tcW w:w="5520" w:type="dxa"/>
            <w:textDirection w:val="lrTb"/>
            <w:noWrap/>
          </w:tcPr>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w:t>
            </w:r>
            <w:r>
              <w:rPr>
                <w:rFonts w:ascii="Times New Roman" w:hAnsi="Times New Roman" w:cs="Times New Roman"/>
                <w:color w:val="221f1f"/>
                <w:sz w:val="24"/>
                <w:szCs w:val="24"/>
                <w:shd w:val="clear" w:color="auto" w:fill="ffffff"/>
              </w:rPr>
              <w:t xml:space="preserve">конектора</w:t>
            </w:r>
            <w:r>
              <w:rPr>
                <w:rFonts w:ascii="Times New Roman" w:hAnsi="Times New Roman" w:cs="Times New Roman"/>
                <w:color w:val="221f1f"/>
                <w:sz w:val="24"/>
                <w:szCs w:val="24"/>
                <w:shd w:val="clear" w:color="auto" w:fill="ffffff"/>
              </w:rPr>
              <w:t xml:space="preserve"> – </w:t>
            </w:r>
            <w:r>
              <w:rPr>
                <w:rFonts w:ascii="Times New Roman" w:hAnsi="Times New Roman" w:cs="Times New Roman"/>
                <w:color w:val="221f1f"/>
                <w:sz w:val="24"/>
                <w:szCs w:val="24"/>
                <w:shd w:val="clear" w:color="auto" w:fill="ffffff"/>
                <w:lang w:val="en-US"/>
              </w:rPr>
              <w:t xml:space="preserve">SC</w:t>
            </w:r>
            <w:r>
              <w:rPr>
                <w:rFonts w:ascii="Times New Roman" w:hAnsi="Times New Roman" w:cs="Times New Roman"/>
                <w:color w:val="221f1f"/>
                <w:sz w:val="24"/>
                <w:szCs w:val="24"/>
                <w:shd w:val="clear" w:color="auto" w:fill="ffffff"/>
              </w:rPr>
              <w:t xml:space="preserve">-</w:t>
            </w:r>
            <w:r>
              <w:rPr>
                <w:rFonts w:ascii="Times New Roman" w:hAnsi="Times New Roman" w:cs="Times New Roman"/>
                <w:color w:val="221f1f"/>
                <w:sz w:val="24"/>
                <w:szCs w:val="24"/>
                <w:shd w:val="clear" w:color="auto" w:fill="ffffff"/>
                <w:lang w:val="en-US"/>
              </w:rPr>
              <w:t xml:space="preserve">LC</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Тип волокна – S</w:t>
            </w:r>
            <w:r>
              <w:rPr>
                <w:rFonts w:ascii="Times New Roman" w:hAnsi="Times New Roman" w:cs="Times New Roman"/>
                <w:color w:val="221f1f"/>
                <w:sz w:val="24"/>
                <w:szCs w:val="24"/>
                <w:shd w:val="clear" w:color="auto" w:fill="ffffff"/>
                <w:lang w:val="en-US"/>
              </w:rPr>
              <w:t xml:space="preserve">M</w:t>
            </w:r>
            <w:r>
              <w:rPr>
                <w:rFonts w:ascii="Times New Roman" w:hAnsi="Times New Roman" w:cs="Times New Roman"/>
                <w:color w:val="221f1f"/>
                <w:sz w:val="24"/>
                <w:szCs w:val="24"/>
                <w:shd w:val="clear" w:color="auto" w:fill="ffffff"/>
              </w:rPr>
              <w:t xml:space="preserve"> </w:t>
            </w:r>
            <w:r>
              <w:rPr>
                <w:rFonts w:ascii="Times New Roman" w:hAnsi="Times New Roman" w:cs="Times New Roman"/>
                <w:color w:val="221f1f"/>
                <w:sz w:val="24"/>
                <w:szCs w:val="24"/>
                <w:shd w:val="clear" w:color="auto" w:fill="ffffff"/>
              </w:rPr>
              <w:t xml:space="preserve">single-mode</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Полірування – </w:t>
            </w:r>
            <w:r>
              <w:rPr>
                <w:rFonts w:ascii="Times New Roman" w:hAnsi="Times New Roman" w:cs="Times New Roman"/>
                <w:color w:val="221f1f"/>
                <w:sz w:val="24"/>
                <w:szCs w:val="24"/>
                <w:shd w:val="clear" w:color="auto" w:fill="ffffff"/>
                <w:lang w:val="en-US"/>
              </w:rPr>
              <w:t xml:space="preserve">UPC</w:t>
            </w:r>
            <w:r>
              <w:rPr>
                <w:rFonts w:ascii="Times New Roman" w:hAnsi="Times New Roman" w:cs="Times New Roman"/>
                <w:color w:val="221f1f"/>
                <w:sz w:val="24"/>
                <w:szCs w:val="24"/>
                <w:shd w:val="clear" w:color="auto" w:fill="ffffff"/>
              </w:rPr>
              <w:t xml:space="preserve">-</w:t>
            </w:r>
            <w:r>
              <w:rPr>
                <w:rFonts w:ascii="Times New Roman" w:hAnsi="Times New Roman" w:cs="Times New Roman"/>
                <w:color w:val="221f1f"/>
                <w:sz w:val="24"/>
                <w:szCs w:val="24"/>
                <w:shd w:val="clear" w:color="auto" w:fill="ffffff"/>
                <w:lang w:val="en-US"/>
              </w:rPr>
              <w:t xml:space="preserve">UPC</w:t>
            </w:r>
            <w:r>
              <w:rPr>
                <w:rFonts w:ascii="Times New Roman" w:hAnsi="Times New Roman" w:cs="Times New Roman"/>
                <w:color w:val="221f1f"/>
                <w:sz w:val="24"/>
                <w:szCs w:val="24"/>
                <w:shd w:val="clear" w:color="auto" w:fill="ffffff"/>
              </w:rPr>
              <w:t xml:space="preserve">.</w:t>
            </w:r>
            <w:r/>
          </w:p>
          <w:p>
            <w:pPr>
              <w:spacing w:after="0" w:line="240" w:lineRule="auto"/>
              <w:rPr>
                <w:rFonts w:ascii="Times New Roman" w:hAnsi="Times New Roman" w:cs="Times New Roman"/>
                <w:color w:val="221f1f"/>
                <w:sz w:val="24"/>
                <w:szCs w:val="24"/>
                <w:shd w:val="clear" w:color="auto" w:fill="ffffff"/>
              </w:rPr>
            </w:pPr>
            <w:r>
              <w:rPr>
                <w:rFonts w:ascii="Times New Roman" w:hAnsi="Times New Roman" w:cs="Times New Roman"/>
                <w:color w:val="221f1f"/>
                <w:sz w:val="24"/>
                <w:szCs w:val="24"/>
                <w:shd w:val="clear" w:color="auto" w:fill="ffffff"/>
              </w:rPr>
              <w:t xml:space="preserve">Довжина – 5 метри.</w:t>
            </w:r>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
          <w:i/>
          <w:iCs/>
          <w:color w:val="000000" w:themeColor="text1"/>
          <w:sz w:val="24"/>
          <w:szCs w:val="24"/>
        </w:rPr>
      </w:pPr>
      <w:r>
        <w:rPr>
          <w:rFonts w:ascii="Times New Roman" w:hAnsi="Times New Roman" w:cs="Times New Roman"/>
          <w:b/>
          <w:i/>
          <w:iCs/>
          <w:color w:val="000000" w:themeColor="text1"/>
          <w:sz w:val="24"/>
          <w:szCs w:val="24"/>
        </w:rPr>
        <w:t xml:space="preserve">Характеристики товару повинні бути ідентичні та /або не гірші ніж зазначені Замовником</w:t>
      </w:r>
      <w:r/>
    </w:p>
    <w:p>
      <w:pPr>
        <w:ind w:firstLine="567"/>
        <w:jc w:val="both"/>
        <w:spacing w:after="0" w:line="240" w:lineRule="auto"/>
        <w:shd w:val="clear" w:color="auto" w:fill="ffffff"/>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Еквівалент Товару – вживається у значенні, як рівнозначний товар, що виражається в наявності однозначних співвідношень між технічними та якісними характеристиками до предмету закупівлі, що ви</w:t>
      </w:r>
      <w:r>
        <w:rPr>
          <w:rFonts w:ascii="Times New Roman" w:hAnsi="Times New Roman" w:cs="Times New Roman"/>
          <w:color w:val="000000"/>
          <w:spacing w:val="-4"/>
          <w:sz w:val="24"/>
          <w:szCs w:val="24"/>
        </w:rPr>
        <w:t xml:space="preserve">значені згідно вимог цього технічного завдання, або якісно перевищують відповідні вимоги. У разі поставки еквівалентного товару, товар повинен бути з технічними та якісними характеристиками рівноцінними, або покращеними, ніж визначені технічним завданням. </w:t>
      </w:r>
      <w:r>
        <w:rPr>
          <w:rFonts w:ascii="Times New Roman" w:hAnsi="Times New Roman" w:cs="Times New Roman"/>
          <w:color w:val="000000" w:themeColor="text1"/>
          <w:spacing w:val="-4"/>
          <w:sz w:val="24"/>
          <w:szCs w:val="24"/>
        </w:rPr>
        <w:t xml:space="preserve">Товар, представлений Учасником, має відповідати діючим в Україні державним стандартам якості, відповідності або затвердженим в установленому порядку технічним умовам.</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Транспортування Товару та розвантаження на склад Замовника здійснюється за рахунок Учасника.</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Товар має бути поставлений в упаковці (тарі), що забезпечує захист Товару від його пошкодження або псування під час транспортування і зберігання.</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В комплекті поставки повинні бути усі необхідні для роботи обладнання кабелі, шнури, тощо.</w:t>
      </w:r>
      <w:r/>
    </w:p>
    <w:p>
      <w:pPr>
        <w:ind w:firstLine="567"/>
        <w:jc w:val="both"/>
        <w:spacing w:after="0" w:line="240" w:lineRule="auto"/>
        <w:rPr>
          <w:rFonts w:ascii="Times New Roman" w:hAnsi="Times New Roman" w:cs="Times New Roman"/>
          <w:spacing w:val="-4"/>
          <w:sz w:val="24"/>
          <w:szCs w:val="24"/>
        </w:rPr>
      </w:pPr>
      <w:r>
        <w:rPr>
          <w:rFonts w:ascii="Times New Roman" w:hAnsi="Times New Roman" w:cs="Times New Roman"/>
          <w:spacing w:val="-4"/>
          <w:sz w:val="24"/>
          <w:szCs w:val="24"/>
        </w:rPr>
        <w:t xml:space="preserve">Товар повинен бути новим, таким, що не був раніше у використанні.</w:t>
      </w:r>
      <w:r/>
    </w:p>
    <w:p>
      <w:pPr>
        <w:ind w:firstLine="567"/>
        <w:jc w:val="both"/>
        <w:spacing w:after="0" w:line="240" w:lineRule="auto"/>
        <w:rPr>
          <w:rFonts w:ascii="Times New Roman" w:hAnsi="Times New Roman" w:eastAsia="Calibri" w:cs="Times New Roman"/>
          <w:sz w:val="24"/>
          <w:szCs w:val="24"/>
        </w:rPr>
      </w:pPr>
      <w:r>
        <w:rPr>
          <w:rFonts w:ascii="Times New Roman" w:hAnsi="Times New Roman" w:eastAsia="Calibri" w:cs="Times New Roman"/>
          <w:spacing w:val="-4"/>
          <w:sz w:val="24"/>
          <w:szCs w:val="24"/>
        </w:rPr>
        <w:t xml:space="preserve">Гарантійний строк на Т</w:t>
      </w:r>
      <w:r>
        <w:rPr>
          <w:rFonts w:ascii="Times New Roman" w:hAnsi="Times New Roman" w:eastAsia="Calibri" w:cs="Times New Roman"/>
          <w:spacing w:val="-4"/>
          <w:sz w:val="24"/>
          <w:szCs w:val="24"/>
        </w:rPr>
        <w:t xml:space="preserve">овар становить не менше 12 місяців з дати приймання Товару замовником. Умовою гарантійного обслуговування є, зокрема, експлуатація Товару згідно з правилами експлуатації відповідно до технічної документацією виробника, що мають надаватися разом із Товаром.</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14 101,87</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чотирнадцять тисяч сто одна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w:t>
      </w:r>
      <w:r>
        <w:rPr>
          <w:rFonts w:ascii="Times New Roman" w:hAnsi="Times New Roman" w:eastAsia="Times New Roman" w:cs="Times New Roman"/>
          <w:sz w:val="24"/>
          <w:szCs w:val="24"/>
          <w:lang w:eastAsia="ru-RU"/>
        </w:rPr>
        <w:t xml:space="preserve">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161</cp:revision>
  <dcterms:created xsi:type="dcterms:W3CDTF">2022-11-01T12:47:00Z</dcterms:created>
  <dcterms:modified xsi:type="dcterms:W3CDTF">2024-05-17T11:39:38Z</dcterms:modified>
</cp:coreProperties>
</file>