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6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w:t>
      </w:r>
      <w:r>
        <w:rPr>
          <w:b w:val="0"/>
          <w:bCs w:val="0"/>
          <w:spacing w:val="1"/>
          <w:sz w:val="24"/>
          <w:szCs w:val="24"/>
        </w:rPr>
        <w:t xml:space="preserve"> </w:t>
      </w:r>
      <w:r>
        <w:rPr>
          <w:b w:val="0"/>
          <w:bCs w:val="0"/>
          <w:sz w:val="24"/>
          <w:szCs w:val="24"/>
        </w:rPr>
        <w:t xml:space="preserve">технічної підтримки та обслуговування </w:t>
      </w:r>
      <w:r>
        <w:rPr>
          <w:b w:val="0"/>
          <w:bCs w:val="0"/>
          <w:sz w:val="24"/>
          <w:szCs w:val="24"/>
        </w:rPr>
        <w:t xml:space="preserve">гіперконвергентного</w:t>
      </w:r>
      <w:r>
        <w:rPr>
          <w:b w:val="0"/>
          <w:bCs w:val="0"/>
          <w:sz w:val="24"/>
          <w:szCs w:val="24"/>
        </w:rPr>
        <w:t xml:space="preserve"> </w:t>
      </w:r>
      <w:r>
        <w:rPr>
          <w:b w:val="0"/>
          <w:bCs w:val="0"/>
          <w:sz w:val="24"/>
          <w:szCs w:val="24"/>
        </w:rPr>
        <w:t xml:space="preserve">обчислюванного</w:t>
      </w:r>
      <w:r>
        <w:rPr>
          <w:b w:val="0"/>
          <w:bCs w:val="0"/>
          <w:sz w:val="24"/>
          <w:szCs w:val="24"/>
        </w:rPr>
        <w:t xml:space="preserve"> кластеру інформаційно-комунікаційної системи 112, </w:t>
      </w:r>
      <w:r>
        <w:rPr>
          <w:b w:val="0"/>
          <w:bCs w:val="0"/>
          <w:spacing w:val="1"/>
          <w:sz w:val="24"/>
          <w:szCs w:val="24"/>
        </w:rPr>
        <w:t xml:space="preserve">налаштування та виправлення виявлених </w:t>
      </w:r>
      <w:r>
        <w:rPr>
          <w:b w:val="0"/>
          <w:bCs w:val="0"/>
          <w:spacing w:val="1"/>
          <w:sz w:val="24"/>
          <w:szCs w:val="24"/>
        </w:rPr>
        <w:t xml:space="preserve">несправностей</w:t>
      </w:r>
      <w:r>
        <w:rPr>
          <w:b w:val="0"/>
          <w:bCs w:val="0"/>
          <w:sz w:val="24"/>
          <w:szCs w:val="24"/>
        </w:rPr>
        <w:t xml:space="preserve"> та продовження сервісної підтримки за кодом  ДК 021:2015: 72250000-2 Послуги, пов’язані із системами та підтримкою</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5486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технічної підтримки та обслуговування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w:t>
      </w:r>
      <w:r>
        <w:rPr>
          <w:rFonts w:ascii="Times New Roman" w:hAnsi="Times New Roman" w:cs="Times New Roman"/>
          <w:sz w:val="24"/>
          <w:szCs w:val="24"/>
        </w:rPr>
        <w:t xml:space="preserve">обчислюванного</w:t>
      </w:r>
      <w:r>
        <w:rPr>
          <w:rFonts w:ascii="Times New Roman" w:hAnsi="Times New Roman" w:cs="Times New Roman"/>
          <w:sz w:val="24"/>
          <w:szCs w:val="24"/>
        </w:rPr>
        <w:t xml:space="preserve"> кластеру інформаційно-комунікаційної системи 112, </w:t>
      </w:r>
      <w:r>
        <w:rPr>
          <w:rFonts w:ascii="Times New Roman" w:hAnsi="Times New Roman" w:cs="Times New Roman"/>
          <w:spacing w:val="1"/>
          <w:sz w:val="24"/>
          <w:szCs w:val="24"/>
        </w:rPr>
        <w:t xml:space="preserve">налаштування та виправлення виявлених </w:t>
      </w:r>
      <w:r>
        <w:rPr>
          <w:rFonts w:ascii="Times New Roman" w:hAnsi="Times New Roman" w:cs="Times New Roman"/>
          <w:spacing w:val="1"/>
          <w:sz w:val="24"/>
          <w:szCs w:val="24"/>
        </w:rPr>
        <w:t xml:space="preserve">несправностей</w:t>
      </w:r>
      <w:r>
        <w:rPr>
          <w:rFonts w:ascii="Times New Roman" w:hAnsi="Times New Roman" w:cs="Times New Roman"/>
          <w:sz w:val="24"/>
          <w:szCs w:val="24"/>
        </w:rPr>
        <w:t xml:space="preserve"> та продовження сервісної підтримки за кодом  ДК 021:2015: 72250000-2 Послуги, пов’язані із системами та підтримкою</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p>
      <w:pPr>
        <w:ind w:firstLine="850"/>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Термін надання Послуг складає:</w:t>
      </w:r>
      <w:r>
        <w:rPr>
          <w:rFonts w:ascii="Times New Roman" w:hAnsi="Times New Roman" w:cs="Times New Roman"/>
          <w:sz w:val="24"/>
          <w:szCs w:val="24"/>
        </w:rPr>
        <w:t xml:space="preserve"> з дати укладання договору по 31 грудня 2024 року.  </w:t>
      </w:r>
      <w:r/>
    </w:p>
    <w:p>
      <w:pPr>
        <w:ind w:firstLine="850"/>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Порядок оплати</w:t>
      </w:r>
      <w:r>
        <w:rPr>
          <w:rFonts w:ascii="Times New Roman" w:hAnsi="Times New Roman" w:cs="Times New Roman"/>
          <w:sz w:val="24"/>
          <w:szCs w:val="24"/>
        </w:rPr>
        <w:t xml:space="preserve">: по факту надання послуг. </w:t>
      </w:r>
      <w:r/>
    </w:p>
    <w:p>
      <w:pPr>
        <w:ind w:firstLine="85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061"/>
        <w:gridCol w:w="1701"/>
        <w:gridCol w:w="1276"/>
      </w:tblGrid>
      <w:tr>
        <w:trPr>
          <w:trHeight w:val="387"/>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60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Послуг </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Період надання \ кількість</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06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Cs/>
                <w:spacing w:val="1"/>
                <w:sz w:val="24"/>
                <w:szCs w:val="24"/>
              </w:rPr>
              <w:t xml:space="preserve">Послуги з налаштування та виправлення виявлених </w:t>
            </w:r>
            <w:r>
              <w:rPr>
                <w:rFonts w:ascii="Times New Roman" w:hAnsi="Times New Roman" w:cs="Times New Roman"/>
                <w:bCs/>
                <w:spacing w:val="1"/>
                <w:sz w:val="24"/>
                <w:szCs w:val="24"/>
              </w:rPr>
              <w:t xml:space="preserve">несправностей</w:t>
            </w:r>
            <w:r>
              <w:rPr>
                <w:rFonts w:ascii="Times New Roman" w:hAnsi="Times New Roman" w:cs="Times New Roman"/>
                <w:bCs/>
                <w:spacing w:val="1"/>
                <w:sz w:val="24"/>
                <w:szCs w:val="24"/>
              </w:rPr>
              <w:t xml:space="preserve"> в </w:t>
            </w:r>
            <w:r>
              <w:rPr>
                <w:rFonts w:ascii="Times New Roman" w:hAnsi="Times New Roman" w:cs="Times New Roman"/>
                <w:bCs/>
                <w:spacing w:val="1"/>
                <w:sz w:val="24"/>
                <w:szCs w:val="24"/>
              </w:rPr>
              <w:t xml:space="preserve">гіперконвергентому</w:t>
            </w:r>
            <w:r>
              <w:rPr>
                <w:rFonts w:ascii="Times New Roman" w:hAnsi="Times New Roman" w:cs="Times New Roman"/>
                <w:bCs/>
                <w:spacing w:val="1"/>
                <w:sz w:val="24"/>
                <w:szCs w:val="24"/>
              </w:rPr>
              <w:t xml:space="preserve"> обчислювальному кластеру </w:t>
            </w:r>
            <w:r>
              <w:rPr>
                <w:rFonts w:ascii="Times New Roman" w:hAnsi="Times New Roman" w:cs="Times New Roman"/>
                <w:sz w:val="24"/>
                <w:szCs w:val="24"/>
              </w:rPr>
              <w:t xml:space="preserve">ІКС 112</w:t>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послуга</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061" w:type="dxa"/>
            <w:textDirection w:val="lrTb"/>
            <w:noWrap w:val="false"/>
          </w:tcPr>
          <w:p>
            <w:pPr>
              <w:jc w:val="both"/>
              <w:spacing w:after="0" w:line="24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Послуги </w:t>
            </w:r>
            <w:r>
              <w:rPr>
                <w:rFonts w:ascii="Times New Roman" w:hAnsi="Times New Roman" w:cs="Times New Roman"/>
                <w:sz w:val="24"/>
                <w:szCs w:val="24"/>
              </w:rPr>
              <w:t xml:space="preserve">з технічної підтримки та обслуговування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обчислювального кластеру ІКС 112</w:t>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послуга</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061" w:type="dxa"/>
            <w:textDirection w:val="lrTb"/>
            <w:noWrap w:val="false"/>
          </w:tcPr>
          <w:p>
            <w:pPr>
              <w:jc w:val="both"/>
              <w:spacing w:after="0" w:line="24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Подовження сервісної підтримки, для </w:t>
            </w:r>
            <w:r>
              <w:rPr>
                <w:rFonts w:ascii="Times New Roman" w:hAnsi="Times New Roman" w:cs="Times New Roman"/>
                <w:bCs/>
                <w:spacing w:val="1"/>
                <w:sz w:val="24"/>
                <w:szCs w:val="24"/>
              </w:rPr>
              <w:t xml:space="preserve">Cisco</w:t>
            </w:r>
            <w:r>
              <w:rPr>
                <w:rFonts w:ascii="Times New Roman" w:hAnsi="Times New Roman" w:cs="Times New Roman"/>
                <w:bCs/>
                <w:spacing w:val="1"/>
                <w:sz w:val="24"/>
                <w:szCs w:val="24"/>
              </w:rPr>
              <w:t xml:space="preserve"> BE </w:t>
            </w:r>
            <w:r>
              <w:rPr>
                <w:rFonts w:ascii="Times New Roman" w:hAnsi="Times New Roman" w:cs="Times New Roman"/>
                <w:bCs/>
                <w:spacing w:val="1"/>
                <w:sz w:val="24"/>
                <w:szCs w:val="24"/>
              </w:rPr>
              <w:t xml:space="preserve">Embedded</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Virt</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Basic</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Plus</w:t>
            </w:r>
            <w:r>
              <w:rPr>
                <w:rFonts w:ascii="Times New Roman" w:hAnsi="Times New Roman" w:cs="Times New Roman"/>
                <w:bCs/>
                <w:spacing w:val="1"/>
                <w:sz w:val="24"/>
                <w:szCs w:val="24"/>
              </w:rPr>
              <w:t xml:space="preserve"> 7x, BE6K/7K </w:t>
            </w:r>
            <w:r>
              <w:rPr>
                <w:rFonts w:ascii="Times New Roman" w:hAnsi="Times New Roman" w:cs="Times New Roman"/>
                <w:bCs/>
                <w:spacing w:val="1"/>
                <w:sz w:val="24"/>
                <w:szCs w:val="24"/>
              </w:rPr>
              <w:t xml:space="preserve">only</w:t>
            </w:r>
            <w:r>
              <w:rPr>
                <w:rFonts w:ascii="Times New Roman" w:hAnsi="Times New Roman" w:cs="Times New Roman"/>
                <w:bCs/>
                <w:spacing w:val="1"/>
                <w:sz w:val="24"/>
                <w:szCs w:val="24"/>
              </w:rPr>
              <w:t xml:space="preserve"> (CON-ECMU-BE67KVSP)</w:t>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шт.</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061" w:type="dxa"/>
            <w:textDirection w:val="lrTb"/>
            <w:noWrap w:val="false"/>
          </w:tcPr>
          <w:p>
            <w:pPr>
              <w:jc w:val="both"/>
              <w:spacing w:after="0" w:line="24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Подовження сервісної підтримки, для </w:t>
            </w:r>
            <w:r>
              <w:rPr>
                <w:rFonts w:ascii="Times New Roman" w:hAnsi="Times New Roman" w:cs="Times New Roman"/>
                <w:bCs/>
                <w:spacing w:val="1"/>
                <w:sz w:val="24"/>
                <w:szCs w:val="24"/>
              </w:rPr>
              <w:t xml:space="preserve">Cisco</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Business</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Edition</w:t>
            </w:r>
            <w:r>
              <w:rPr>
                <w:rFonts w:ascii="Times New Roman" w:hAnsi="Times New Roman" w:cs="Times New Roman"/>
                <w:bCs/>
                <w:spacing w:val="1"/>
                <w:sz w:val="24"/>
                <w:szCs w:val="24"/>
              </w:rPr>
              <w:t xml:space="preserve"> 7000H (M5) </w:t>
            </w:r>
            <w:r>
              <w:rPr>
                <w:rFonts w:ascii="Times New Roman" w:hAnsi="Times New Roman" w:cs="Times New Roman"/>
                <w:bCs/>
                <w:spacing w:val="1"/>
                <w:sz w:val="24"/>
                <w:szCs w:val="24"/>
              </w:rPr>
              <w:t xml:space="preserve">Appliance</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Export</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Restr</w:t>
            </w:r>
            <w:r>
              <w:rPr>
                <w:rFonts w:ascii="Times New Roman" w:hAnsi="Times New Roman" w:cs="Times New Roman"/>
                <w:bCs/>
                <w:spacing w:val="1"/>
                <w:sz w:val="24"/>
                <w:szCs w:val="24"/>
              </w:rPr>
              <w:t xml:space="preserve"> SW (CON-SNT-BE79M5KH)</w:t>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4</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шт.</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061" w:type="dxa"/>
            <w:textDirection w:val="lrTb"/>
            <w:noWrap w:val="false"/>
          </w:tcPr>
          <w:p>
            <w:pPr>
              <w:jc w:val="both"/>
              <w:spacing w:after="0" w:line="24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Подовження сервісної підтримки, для </w:t>
            </w:r>
            <w:r>
              <w:rPr>
                <w:rFonts w:ascii="Times New Roman" w:hAnsi="Times New Roman" w:cs="Times New Roman"/>
                <w:bCs/>
                <w:spacing w:val="1"/>
                <w:sz w:val="24"/>
                <w:szCs w:val="24"/>
              </w:rPr>
              <w:t xml:space="preserve">Cisco</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Business</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Edition</w:t>
            </w:r>
            <w:r>
              <w:rPr>
                <w:rFonts w:ascii="Times New Roman" w:hAnsi="Times New Roman" w:cs="Times New Roman"/>
                <w:bCs/>
                <w:spacing w:val="1"/>
                <w:sz w:val="24"/>
                <w:szCs w:val="24"/>
              </w:rPr>
              <w:t xml:space="preserve"> 7000H (M6) </w:t>
            </w:r>
            <w:r>
              <w:rPr>
                <w:rFonts w:ascii="Times New Roman" w:hAnsi="Times New Roman" w:cs="Times New Roman"/>
                <w:bCs/>
                <w:spacing w:val="1"/>
                <w:sz w:val="24"/>
                <w:szCs w:val="24"/>
              </w:rPr>
              <w:t xml:space="preserve">Appliance</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Export</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Restr</w:t>
            </w:r>
            <w:r>
              <w:rPr>
                <w:rFonts w:ascii="Times New Roman" w:hAnsi="Times New Roman" w:cs="Times New Roman"/>
                <w:bCs/>
                <w:spacing w:val="1"/>
                <w:sz w:val="24"/>
                <w:szCs w:val="24"/>
              </w:rPr>
              <w:t xml:space="preserve"> SW (CON-SNT-BE7HM6KM)</w:t>
            </w:r>
            <w:r/>
          </w:p>
        </w:tc>
        <w:tc>
          <w:tcPr>
            <w:tcBorders>
              <w:top w:val="single" w:color="000000" w:sz="4" w:space="0"/>
              <w:left w:val="single" w:color="000000" w:sz="4" w:space="0"/>
              <w:bottom w:val="single" w:color="000000" w:sz="4" w:space="0"/>
              <w:right w:val="single" w:color="000000" w:sz="4" w:space="0"/>
            </w:tcBorders>
            <w:tcW w:w="1701"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w:t>
            </w:r>
            <w:r/>
          </w:p>
        </w:tc>
        <w:tc>
          <w:tcPr>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шт.</w:t>
            </w:r>
            <w:r/>
          </w:p>
        </w:tc>
      </w:tr>
    </w:tbl>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right="79"/>
        <w:jc w:val="center"/>
        <w:spacing w:after="0" w:line="240" w:lineRule="auto"/>
        <w:tabs>
          <w:tab w:val="left" w:pos="284" w:leader="none"/>
        </w:tabs>
        <w:rPr>
          <w:rFonts w:ascii="Times New Roman" w:hAnsi="Times New Roman" w:cs="Times New Roman"/>
          <w:b/>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rPr>
        <w:t xml:space="preserve">СКЛАД (ЗМІСТ) ВИМОГ</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компонентів </w:t>
      </w:r>
      <w:r>
        <w:rPr>
          <w:rFonts w:ascii="Times New Roman" w:hAnsi="Times New Roman" w:cs="Times New Roman"/>
          <w:b/>
          <w:sz w:val="24"/>
          <w:szCs w:val="24"/>
        </w:rPr>
        <w:t xml:space="preserve">гіперконвергентного</w:t>
      </w:r>
      <w:r>
        <w:rPr>
          <w:rFonts w:ascii="Times New Roman" w:hAnsi="Times New Roman" w:cs="Times New Roman"/>
          <w:b/>
          <w:sz w:val="24"/>
          <w:szCs w:val="24"/>
        </w:rPr>
        <w:t xml:space="preserve"> обчислювального кластеру ІКС 112 щодо якої надаються Послуги:</w:t>
      </w:r>
      <w:r/>
    </w:p>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62"/>
        <w:gridCol w:w="5954"/>
        <w:gridCol w:w="2126"/>
        <w:gridCol w:w="1276"/>
      </w:tblGrid>
      <w:tr>
        <w:trPr>
          <w:trHeight w:val="387"/>
          <w:tblHeader/>
        </w:trPr>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62"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59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та версія </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212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Коротке позначення</w:t>
            </w:r>
            <w:r/>
          </w:p>
        </w:tc>
        <w:tc>
          <w:tcPr>
            <w:shd w:val="clear" w:color="auto" w:fill="d9d9d9" w:themeFill="background1" w:themeFillShade="D9"/>
            <w:tcBorders>
              <w:top w:val="single" w:color="000000" w:sz="4" w:space="0"/>
              <w:left w:val="single" w:color="000000" w:sz="4" w:space="0"/>
              <w:bottom w:val="single" w:color="000000" w:sz="4" w:space="0"/>
              <w:right w:val="single" w:color="000000" w:sz="4" w:space="0"/>
            </w:tcBorders>
            <w:tcW w:w="1276"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 </w:t>
            </w:r>
            <w:r/>
          </w:p>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та од. виміру</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Гіперконвергентний</w:t>
            </w:r>
            <w:r>
              <w:rPr>
                <w:rFonts w:ascii="Times New Roman" w:hAnsi="Times New Roman" w:cs="Times New Roman"/>
                <w:sz w:val="24"/>
                <w:szCs w:val="24"/>
              </w:rPr>
              <w:t xml:space="preserve"> обчислювальний кластер DELL </w:t>
            </w:r>
            <w:r>
              <w:rPr>
                <w:rFonts w:ascii="Times New Roman" w:hAnsi="Times New Roman" w:cs="Times New Roman"/>
                <w:sz w:val="24"/>
                <w:szCs w:val="24"/>
              </w:rPr>
              <w:t xml:space="preserve">VxRail</w:t>
            </w:r>
            <w:r>
              <w:rPr>
                <w:rFonts w:ascii="Times New Roman" w:hAnsi="Times New Roman" w:cs="Times New Roman"/>
                <w:sz w:val="24"/>
                <w:szCs w:val="24"/>
              </w:rPr>
              <w:t xml:space="preserve"> (5 </w:t>
            </w:r>
            <w:r>
              <w:rPr>
                <w:rFonts w:ascii="Times New Roman" w:hAnsi="Times New Roman" w:cs="Times New Roman"/>
                <w:sz w:val="24"/>
                <w:szCs w:val="24"/>
              </w:rPr>
              <w:t xml:space="preserve">nodes</w:t>
            </w:r>
            <w:r>
              <w:rPr>
                <w:rFonts w:ascii="Times New Roman" w:hAnsi="Times New Roman" w:cs="Times New Roman"/>
                <w:sz w:val="24"/>
                <w:szCs w:val="24"/>
              </w:rPr>
              <w:t xml:space="preserve">) з набором програмного забезпечення </w:t>
            </w: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w:t>
            </w:r>
            <w:r>
              <w:rPr>
                <w:rFonts w:ascii="Times New Roman" w:hAnsi="Times New Roman" w:cs="Times New Roman"/>
                <w:sz w:val="24"/>
                <w:szCs w:val="24"/>
              </w:rPr>
              <w:t xml:space="preserve">Enterprise</w:t>
            </w:r>
            <w:r>
              <w:rPr>
                <w:rFonts w:ascii="Times New Roman" w:hAnsi="Times New Roman" w:cs="Times New Roman"/>
                <w:sz w:val="24"/>
                <w:szCs w:val="24"/>
              </w:rPr>
              <w:t xml:space="preserve"> </w:t>
            </w:r>
            <w:r>
              <w:rPr>
                <w:rFonts w:ascii="Times New Roman" w:hAnsi="Times New Roman" w:cs="Times New Roman"/>
                <w:sz w:val="24"/>
                <w:szCs w:val="24"/>
              </w:rPr>
              <w:t xml:space="preserve">Plus</w:t>
            </w:r>
            <w:r>
              <w:rPr>
                <w:rFonts w:ascii="Times New Roman" w:hAnsi="Times New Roman" w:cs="Times New Roman"/>
                <w:sz w:val="24"/>
                <w:szCs w:val="24"/>
              </w:rPr>
              <w:t xml:space="preserve">, </w:t>
            </w:r>
            <w:r>
              <w:rPr>
                <w:rFonts w:ascii="Times New Roman" w:hAnsi="Times New Roman" w:cs="Times New Roman"/>
                <w:sz w:val="24"/>
                <w:szCs w:val="24"/>
              </w:rPr>
              <w:t xml:space="preserve">vSAN</w:t>
            </w:r>
            <w:r>
              <w:rPr>
                <w:rFonts w:ascii="Times New Roman" w:hAnsi="Times New Roman" w:cs="Times New Roman"/>
                <w:sz w:val="24"/>
                <w:szCs w:val="24"/>
              </w:rPr>
              <w:t xml:space="preserve"> </w:t>
            </w:r>
            <w:r>
              <w:rPr>
                <w:rFonts w:ascii="Times New Roman" w:hAnsi="Times New Roman" w:cs="Times New Roman"/>
                <w:sz w:val="24"/>
                <w:szCs w:val="24"/>
              </w:rPr>
              <w:t xml:space="preserve">Advanced</w:t>
            </w:r>
            <w:r>
              <w:rPr>
                <w:rFonts w:ascii="Times New Roman" w:hAnsi="Times New Roman" w:cs="Times New Roman"/>
                <w:sz w:val="24"/>
                <w:szCs w:val="24"/>
              </w:rPr>
              <w:t xml:space="preserve">)</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 </w:t>
            </w:r>
            <w:r>
              <w:rPr>
                <w:rFonts w:ascii="Times New Roman" w:hAnsi="Times New Roman" w:cs="Times New Roman"/>
                <w:sz w:val="24"/>
                <w:szCs w:val="24"/>
              </w:rPr>
              <w:t xml:space="preserve">VxRail</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bCs/>
                <w:sz w:val="24"/>
                <w:szCs w:val="24"/>
              </w:rPr>
              <w:t xml:space="preserve">nodes</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Cистема</w:t>
            </w:r>
            <w:r>
              <w:rPr>
                <w:rFonts w:ascii="Times New Roman" w:hAnsi="Times New Roman" w:cs="Times New Roman"/>
                <w:sz w:val="24"/>
                <w:szCs w:val="24"/>
              </w:rPr>
              <w:t xml:space="preserve"> збереження даних DELL </w:t>
            </w:r>
            <w:r>
              <w:rPr>
                <w:rFonts w:ascii="Times New Roman" w:hAnsi="Times New Roman" w:cs="Times New Roman"/>
                <w:sz w:val="24"/>
                <w:szCs w:val="24"/>
              </w:rPr>
              <w:t xml:space="preserve">PowerScale</w:t>
            </w:r>
            <w:r>
              <w:rPr>
                <w:rFonts w:ascii="Times New Roman" w:hAnsi="Times New Roman" w:cs="Times New Roman"/>
                <w:sz w:val="24"/>
                <w:szCs w:val="24"/>
              </w:rPr>
              <w:t xml:space="preserve">/ISILON A200 (4 </w:t>
            </w:r>
            <w:r>
              <w:rPr>
                <w:rFonts w:ascii="Times New Roman" w:hAnsi="Times New Roman" w:cs="Times New Roman"/>
                <w:sz w:val="24"/>
                <w:szCs w:val="24"/>
              </w:rPr>
              <w:t xml:space="preserve">nodes</w:t>
            </w:r>
            <w:r>
              <w:rPr>
                <w:rFonts w:ascii="Times New Roman" w:hAnsi="Times New Roman" w:cs="Times New Roman"/>
                <w:sz w:val="24"/>
                <w:szCs w:val="24"/>
              </w:rPr>
              <w:t xml:space="preserve">) з комутаторами DELL S4112 (2 шт.)</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СЗД </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 </w:t>
            </w:r>
            <w:r>
              <w:rPr>
                <w:rFonts w:ascii="Times New Roman" w:hAnsi="Times New Roman" w:cs="Times New Roman"/>
                <w:sz w:val="24"/>
                <w:szCs w:val="24"/>
              </w:rPr>
              <w:t xml:space="preserve">PowerScale</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 xml:space="preserve">шт</w:t>
            </w:r>
            <w:r/>
          </w:p>
        </w:tc>
      </w:tr>
      <w:tr>
        <w:trPr>
          <w:trHeight w:val="340"/>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резервного копіювання та відновлення даних DELL IDPA 4400</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СРК </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 IDPA 4400</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rPr>
              <w:t xml:space="preserve">1 </w:t>
            </w:r>
            <w:r>
              <w:rPr>
                <w:rFonts w:ascii="Times New Roman" w:hAnsi="Times New Roman" w:cs="Times New Roman"/>
                <w:bCs/>
                <w:sz w:val="24"/>
                <w:szCs w:val="24"/>
              </w:rPr>
              <w:t xml:space="preserve">шт</w:t>
            </w:r>
            <w:r/>
          </w:p>
        </w:tc>
      </w:tr>
      <w:tr>
        <w:trPr>
          <w:trHeight w:val="233"/>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Мережеве обладнання DELL S5248</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 S5248</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 </w:t>
            </w:r>
            <w:r>
              <w:rPr>
                <w:rFonts w:ascii="Times New Roman" w:hAnsi="Times New Roman" w:cs="Times New Roman"/>
                <w:bCs/>
                <w:sz w:val="24"/>
                <w:szCs w:val="24"/>
              </w:rPr>
              <w:t xml:space="preserve">шт</w:t>
            </w:r>
            <w:r/>
          </w:p>
        </w:tc>
      </w:tr>
      <w:tr>
        <w:trPr>
          <w:trHeight w:val="157"/>
        </w:trPr>
        <w:tc>
          <w:tcPr>
            <w:tcBorders>
              <w:top w:val="single" w:color="000000" w:sz="4" w:space="0"/>
              <w:left w:val="single" w:color="000000" w:sz="4" w:space="0"/>
              <w:bottom w:val="single" w:color="000000" w:sz="4" w:space="0"/>
              <w:right w:val="single" w:color="000000" w:sz="4" w:space="0"/>
            </w:tcBorders>
            <w:tcW w:w="562"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000000" w:sz="4" w:space="0"/>
              <w:right w:val="single" w:color="000000" w:sz="4" w:space="0"/>
            </w:tcBorders>
            <w:tcW w:w="5954"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Мережеве обладнання DELL S3148</w:t>
            </w:r>
            <w:r/>
          </w:p>
        </w:tc>
        <w:tc>
          <w:tcPr>
            <w:tcBorders>
              <w:top w:val="single" w:color="000000" w:sz="4" w:space="0"/>
              <w:left w:val="single" w:color="000000" w:sz="4" w:space="0"/>
              <w:bottom w:val="single" w:color="000000" w:sz="4" w:space="0"/>
              <w:right w:val="single" w:color="000000" w:sz="4" w:space="0"/>
            </w:tcBorders>
            <w:tcW w:w="2126"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DELL S3148</w:t>
            </w:r>
            <w:r/>
          </w:p>
        </w:tc>
        <w:tc>
          <w:tcPr>
            <w:tcBorders>
              <w:top w:val="single" w:color="000000" w:sz="4" w:space="0"/>
              <w:left w:val="single" w:color="000000" w:sz="4" w:space="0"/>
              <w:bottom w:val="single" w:color="000000" w:sz="4" w:space="0"/>
              <w:right w:val="single" w:color="000000" w:sz="4" w:space="0"/>
            </w:tcBorders>
            <w:tcW w:w="127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Pr>
                <w:rFonts w:ascii="Times New Roman" w:hAnsi="Times New Roman" w:cs="Times New Roman"/>
                <w:bCs/>
                <w:sz w:val="24"/>
                <w:szCs w:val="24"/>
              </w:rPr>
              <w:t xml:space="preserve">шт</w:t>
            </w:r>
            <w:r/>
          </w:p>
        </w:tc>
      </w:tr>
    </w:tbl>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673"/>
        <w:numPr>
          <w:ilvl w:val="0"/>
          <w:numId w:val="6"/>
        </w:numPr>
        <w:ind w:left="284" w:hanging="284"/>
        <w:jc w:val="both"/>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Детальний опис та склад «Послуги з налаштування та виправлення виявлених </w:t>
      </w:r>
      <w:r>
        <w:rPr>
          <w:rFonts w:ascii="Times New Roman" w:hAnsi="Times New Roman" w:cs="Times New Roman"/>
          <w:b/>
          <w:sz w:val="24"/>
          <w:szCs w:val="24"/>
          <w:lang w:val="uk-UA"/>
        </w:rPr>
        <w:t xml:space="preserve">несправностей</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гіперконвергентного</w:t>
      </w:r>
      <w:r>
        <w:rPr>
          <w:rFonts w:ascii="Times New Roman" w:hAnsi="Times New Roman" w:cs="Times New Roman"/>
          <w:b/>
          <w:sz w:val="24"/>
          <w:szCs w:val="24"/>
          <w:lang w:val="uk-UA"/>
        </w:rPr>
        <w:t xml:space="preserve"> обчислювального кластеру ІКС 112.</w:t>
      </w:r>
      <w:r/>
    </w:p>
    <w:p>
      <w:pPr>
        <w:ind w:firstLine="85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 повинен надати наступний комплекс Послуг: </w:t>
      </w:r>
      <w:r/>
    </w:p>
    <w:p>
      <w:pPr>
        <w:numPr>
          <w:ilvl w:val="0"/>
          <w:numId w:val="1"/>
        </w:numPr>
        <w:ind w:left="567"/>
        <w:jc w:val="both"/>
        <w:spacing w:after="0" w:line="240" w:lineRule="auto"/>
        <w:rPr>
          <w:rFonts w:ascii="Times New Roman" w:hAnsi="Times New Roman" w:eastAsia="Calibri" w:cs="Times New Roman"/>
          <w:b/>
          <w:bCs/>
          <w:sz w:val="24"/>
          <w:szCs w:val="24"/>
        </w:rPr>
      </w:pPr>
      <w:r>
        <w:rPr>
          <w:rFonts w:ascii="Times New Roman" w:hAnsi="Times New Roman" w:eastAsia="Calibri" w:cs="Times New Roman"/>
          <w:sz w:val="24"/>
          <w:szCs w:val="24"/>
        </w:rPr>
        <w:t xml:space="preserve">Перевірка поточної конфігурації та налаштувань компонентів </w:t>
      </w:r>
      <w:r>
        <w:rPr>
          <w:rFonts w:ascii="Times New Roman" w:hAnsi="Times New Roman" w:eastAsia="Calibri" w:cs="Times New Roman"/>
          <w:sz w:val="24"/>
          <w:szCs w:val="24"/>
        </w:rPr>
        <w:t xml:space="preserve">гіперконвергентного</w:t>
      </w:r>
      <w:r>
        <w:rPr>
          <w:rFonts w:ascii="Times New Roman" w:hAnsi="Times New Roman" w:eastAsia="Calibri" w:cs="Times New Roman"/>
          <w:sz w:val="24"/>
          <w:szCs w:val="24"/>
        </w:rPr>
        <w:t xml:space="preserve"> обчислювального кластеру ІКС 112, таких як: </w:t>
      </w:r>
      <w:r>
        <w:rPr>
          <w:rFonts w:ascii="Times New Roman" w:hAnsi="Times New Roman" w:cs="Times New Roman"/>
          <w:b/>
          <w:bCs/>
          <w:sz w:val="24"/>
          <w:szCs w:val="24"/>
        </w:rPr>
        <w:t xml:space="preserve">гіперконвергентного</w:t>
      </w:r>
      <w:r>
        <w:rPr>
          <w:rFonts w:ascii="Times New Roman" w:hAnsi="Times New Roman" w:cs="Times New Roman"/>
          <w:b/>
          <w:bCs/>
          <w:sz w:val="24"/>
          <w:szCs w:val="24"/>
        </w:rPr>
        <w:t xml:space="preserve"> обчислювального кластера DELL </w:t>
      </w:r>
      <w:r>
        <w:rPr>
          <w:rFonts w:ascii="Times New Roman" w:hAnsi="Times New Roman" w:cs="Times New Roman"/>
          <w:b/>
          <w:bCs/>
          <w:sz w:val="24"/>
          <w:szCs w:val="24"/>
        </w:rPr>
        <w:t xml:space="preserve">VxRail</w:t>
      </w:r>
      <w:r>
        <w:rPr>
          <w:rFonts w:ascii="Times New Roman" w:hAnsi="Times New Roman" w:eastAsia="Calibri" w:cs="Times New Roman"/>
          <w:b/>
          <w:bCs/>
          <w:sz w:val="24"/>
          <w:szCs w:val="24"/>
        </w:rPr>
        <w:t xml:space="preserve">, </w:t>
      </w:r>
      <w:r>
        <w:rPr>
          <w:rFonts w:ascii="Times New Roman" w:hAnsi="Times New Roman" w:cs="Times New Roman"/>
          <w:b/>
          <w:bCs/>
          <w:sz w:val="24"/>
          <w:szCs w:val="24"/>
        </w:rPr>
        <w:t xml:space="preserve">системи збереження даних DELL </w:t>
      </w:r>
      <w:r>
        <w:rPr>
          <w:rFonts w:ascii="Times New Roman" w:hAnsi="Times New Roman" w:cs="Times New Roman"/>
          <w:b/>
          <w:bCs/>
          <w:sz w:val="24"/>
          <w:szCs w:val="24"/>
        </w:rPr>
        <w:t xml:space="preserve">PowerScale</w:t>
      </w:r>
      <w:r>
        <w:rPr>
          <w:rFonts w:ascii="Times New Roman" w:hAnsi="Times New Roman" w:cs="Times New Roman"/>
          <w:b/>
          <w:bCs/>
          <w:sz w:val="24"/>
          <w:szCs w:val="24"/>
        </w:rPr>
        <w:t xml:space="preserve">/ISILON A200, система резервного копіювання та відновлення даних DELL IDPA 4400, мережевого обладнання DELL S5248 та DELL S3148 </w:t>
      </w:r>
      <w:r>
        <w:rPr>
          <w:rFonts w:ascii="Times New Roman" w:hAnsi="Times New Roman" w:eastAsia="Calibri" w:cs="Times New Roman"/>
          <w:b/>
          <w:bCs/>
          <w:sz w:val="24"/>
          <w:szCs w:val="24"/>
        </w:rPr>
        <w:t xml:space="preserve">ІКС 112;</w:t>
      </w:r>
      <w:r/>
    </w:p>
    <w:p>
      <w:pPr>
        <w:numPr>
          <w:ilvl w:val="0"/>
          <w:numId w:val="1"/>
        </w:numPr>
        <w:ind w:left="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Виправлення виявлених функціональних </w:t>
      </w:r>
      <w:r>
        <w:rPr>
          <w:rFonts w:ascii="Times New Roman" w:hAnsi="Times New Roman" w:eastAsia="Calibri" w:cs="Times New Roman"/>
          <w:sz w:val="24"/>
          <w:szCs w:val="24"/>
        </w:rPr>
        <w:t xml:space="preserve">несправностей</w:t>
      </w:r>
      <w:r>
        <w:rPr>
          <w:rFonts w:ascii="Times New Roman" w:hAnsi="Times New Roman" w:eastAsia="Calibri" w:cs="Times New Roman"/>
          <w:sz w:val="24"/>
          <w:szCs w:val="24"/>
        </w:rPr>
        <w:t xml:space="preserve"> та помилок в конфігураціях вищезазначених компонентів </w:t>
      </w:r>
      <w:r>
        <w:rPr>
          <w:rFonts w:ascii="Times New Roman" w:hAnsi="Times New Roman" w:eastAsia="Calibri" w:cs="Times New Roman"/>
          <w:sz w:val="24"/>
          <w:szCs w:val="24"/>
        </w:rPr>
        <w:t xml:space="preserve">гіперконвергентного</w:t>
      </w:r>
      <w:r>
        <w:rPr>
          <w:rFonts w:ascii="Times New Roman" w:hAnsi="Times New Roman" w:eastAsia="Calibri" w:cs="Times New Roman"/>
          <w:sz w:val="24"/>
          <w:szCs w:val="24"/>
        </w:rPr>
        <w:t xml:space="preserve"> обчислювального кластеру ІКС 112;</w:t>
      </w:r>
      <w:r/>
    </w:p>
    <w:p>
      <w:pPr>
        <w:numPr>
          <w:ilvl w:val="0"/>
          <w:numId w:val="1"/>
        </w:numPr>
        <w:ind w:left="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Оптимізація використання віртуальних обчислювальних ресурсів та розподілу віртуальних серверів між </w:t>
      </w:r>
      <w:r>
        <w:rPr>
          <w:rFonts w:ascii="Times New Roman" w:hAnsi="Times New Roman" w:eastAsia="Calibri" w:cs="Times New Roman"/>
          <w:sz w:val="24"/>
          <w:szCs w:val="24"/>
        </w:rPr>
        <w:t xml:space="preserve">хостами</w:t>
      </w:r>
      <w:r>
        <w:rPr>
          <w:rFonts w:ascii="Times New Roman" w:hAnsi="Times New Roman" w:eastAsia="Calibri" w:cs="Times New Roman"/>
          <w:sz w:val="24"/>
          <w:szCs w:val="24"/>
        </w:rPr>
        <w:t xml:space="preserve">;</w:t>
      </w:r>
      <w:r/>
    </w:p>
    <w:p>
      <w:pPr>
        <w:numPr>
          <w:ilvl w:val="0"/>
          <w:numId w:val="1"/>
        </w:numPr>
        <w:ind w:left="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Встановлення оновлень операційних систем всіх віртуальних серверів що входять до складу ІКС 112;</w:t>
      </w:r>
      <w:r/>
    </w:p>
    <w:p>
      <w:pPr>
        <w:numPr>
          <w:ilvl w:val="0"/>
          <w:numId w:val="1"/>
        </w:numPr>
        <w:ind w:left="567"/>
        <w:jc w:val="both"/>
        <w:spacing w:after="0" w:line="240" w:lineRule="auto"/>
        <w:rPr>
          <w:rFonts w:ascii="Times New Roman" w:hAnsi="Times New Roman" w:cs="Times New Roman"/>
          <w:b/>
          <w:sz w:val="24"/>
          <w:szCs w:val="24"/>
        </w:rPr>
      </w:pPr>
      <w:r>
        <w:rPr>
          <w:rFonts w:ascii="Times New Roman" w:hAnsi="Times New Roman" w:eastAsia="Calibri" w:cs="Times New Roman"/>
          <w:sz w:val="24"/>
          <w:szCs w:val="24"/>
        </w:rPr>
        <w:t xml:space="preserve">Навчання адміністраторів Замовника базовим інструментам моніторингу стану ІКС 112 та засобам базового адміністрування;</w:t>
      </w:r>
      <w:r/>
    </w:p>
    <w:p>
      <w:pPr>
        <w:numPr>
          <w:ilvl w:val="0"/>
          <w:numId w:val="1"/>
        </w:numPr>
        <w:ind w:left="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Бекапування</w:t>
      </w:r>
      <w:r>
        <w:rPr>
          <w:rFonts w:ascii="Times New Roman" w:hAnsi="Times New Roman" w:eastAsia="Calibri" w:cs="Times New Roman"/>
          <w:sz w:val="24"/>
          <w:szCs w:val="24"/>
        </w:rPr>
        <w:t xml:space="preserve">, згідно узгодженого із Замовником плану/переліку, конфігурацій критичних компонентів мережі та віртуальних серверів у складі ІКС 112 для можливості відновлення у разі програмних та/або апаратних збоїв.</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pStyle w:val="673"/>
        <w:numPr>
          <w:ilvl w:val="0"/>
          <w:numId w:val="6"/>
        </w:numPr>
        <w:ind w:left="284" w:hanging="284"/>
        <w:jc w:val="both"/>
        <w:spacing w:after="0" w:line="240" w:lineRule="auto"/>
        <w:widowControl w:val="off"/>
        <w:rPr>
          <w:rFonts w:ascii="Times New Roman" w:hAnsi="Times New Roman" w:cs="Times New Roman"/>
          <w:b/>
          <w:sz w:val="24"/>
          <w:szCs w:val="24"/>
          <w:lang w:val="uk-UA"/>
        </w:rPr>
      </w:pPr>
      <w:r>
        <w:rPr>
          <w:rFonts w:ascii="Times New Roman" w:hAnsi="Times New Roman" w:cs="Times New Roman"/>
          <w:b/>
          <w:sz w:val="24"/>
          <w:szCs w:val="24"/>
          <w:lang w:val="uk-UA"/>
        </w:rPr>
        <w:t xml:space="preserve">Детальний опис та склад «Послуги з технічної підтримки та обслуговування ІКС 112.</w:t>
      </w:r>
      <w:r/>
    </w:p>
    <w:p>
      <w:pPr>
        <w:ind w:firstLine="851"/>
        <w:jc w:val="bot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Виконавець повинен надати наступний комплекс Послуг:</w:t>
      </w:r>
      <w:r/>
    </w:p>
    <w:tbl>
      <w:tblPr>
        <w:tblW w:w="504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6"/>
        <w:gridCol w:w="6913"/>
        <w:gridCol w:w="2221"/>
      </w:tblGrid>
      <w:tr>
        <w:trPr/>
        <w:tc>
          <w:tcPr>
            <w:shd w:val="clear" w:color="auto" w:fill="d9d9d9"/>
            <w:tcW w:w="576"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t>
            </w:r>
            <w:r/>
          </w:p>
        </w:tc>
        <w:tc>
          <w:tcPr>
            <w:shd w:val="clear" w:color="auto" w:fill="d9d9d9"/>
            <w:tcW w:w="691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Послуги</w:t>
            </w:r>
            <w:r/>
          </w:p>
        </w:tc>
        <w:tc>
          <w:tcPr>
            <w:shd w:val="clear" w:color="auto" w:fill="d9d9d9"/>
            <w:tcW w:w="2221"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Обсяг</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Реєстрація звернень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в службі технічної підтримки (далі СТП) Виконавця.</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24х7</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Обробка замовлень та надання послуг цієї підтримки згідно пріоритетів звернень.</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Діагностика роботи складових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згідно зареєстрованим у СТП зверненням дистанційно та згідно пріоритетів.</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Виправлення помилок у «налаштуваннях» та «конфігураціях» складових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згідно Пріоритету звернень дистанційно, в тому числі з виїздом Виконавця на місце експлуатації в межах м. Києва, якщо дистанційна діагностика не може бути використана для таких робіт.</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Внесення змін до конфігурації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в рамках директив / рекомендацій вендорів, зокрема, </w:t>
            </w:r>
            <w:r>
              <w:rPr>
                <w:rFonts w:ascii="Times New Roman" w:hAnsi="Times New Roman" w:cs="Times New Roman"/>
                <w:sz w:val="24"/>
                <w:szCs w:val="24"/>
                <w:lang w:val="en-US"/>
              </w:rPr>
              <w:t xml:space="preserve">Dell</w:t>
            </w:r>
            <w:r>
              <w:rPr>
                <w:rFonts w:ascii="Times New Roman" w:hAnsi="Times New Roman" w:cs="Times New Roman"/>
                <w:sz w:val="24"/>
                <w:szCs w:val="24"/>
              </w:rPr>
              <w:t xml:space="preserve"> в тому числі встановлення виправлень ПЗ (</w:t>
            </w:r>
            <w:r>
              <w:rPr>
                <w:rFonts w:ascii="Times New Roman" w:hAnsi="Times New Roman" w:cs="Times New Roman"/>
                <w:sz w:val="24"/>
                <w:szCs w:val="24"/>
              </w:rPr>
              <w:t xml:space="preserve">патчей</w:t>
            </w:r>
            <w:r>
              <w:rPr>
                <w:rFonts w:ascii="Times New Roman" w:hAnsi="Times New Roman" w:cs="Times New Roman"/>
                <w:sz w:val="24"/>
                <w:szCs w:val="24"/>
              </w:rPr>
              <w:t xml:space="preserve">, виду </w:t>
            </w:r>
            <w:r>
              <w:rPr>
                <w:rFonts w:ascii="Times New Roman" w:hAnsi="Times New Roman" w:cs="Times New Roman"/>
                <w:sz w:val="24"/>
                <w:szCs w:val="24"/>
              </w:rPr>
              <w:t xml:space="preserve">x.x.X</w:t>
            </w:r>
            <w:r>
              <w:rPr>
                <w:rFonts w:ascii="Times New Roman" w:hAnsi="Times New Roman" w:cs="Times New Roman"/>
                <w:sz w:val="24"/>
                <w:szCs w:val="24"/>
              </w:rPr>
              <w:t xml:space="preserve">), які надає </w:t>
            </w:r>
            <w:r>
              <w:rPr>
                <w:rFonts w:ascii="Times New Roman" w:hAnsi="Times New Roman" w:cs="Times New Roman"/>
                <w:sz w:val="24"/>
                <w:szCs w:val="24"/>
                <w:lang w:val="en-US"/>
              </w:rPr>
              <w:t xml:space="preserve">Dell</w:t>
            </w:r>
            <w:r/>
          </w:p>
        </w:tc>
        <w:tc>
          <w:tcPr>
            <w:shd w:val="clear" w:color="auto" w:fill="auto"/>
            <w:tcW w:w="2221"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Згідно з графіком виходу оновлень</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Зміни у налаштуванні та конфігурації складових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в тому числі відновлення працездатності, які стали необхідними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обмежень</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виїздів Виконавця до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в межах м. Києва для діагностики роботи складових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якщо дистанційна діагностика неможлива у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Або необхідна заміна апаратної складової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яка вийшла з ладу в наслідок дій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виїздів </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резервних копій віртуальних машин за зверненням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якщо автоматичне резервне копіювання неможливо.</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на місяць</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Прибуття інженера на майданчик </w:t>
            </w:r>
            <w:r>
              <w:rPr>
                <w:rFonts w:ascii="Times New Roman" w:hAnsi="Times New Roman" w:eastAsia="Calibri" w:cs="Times New Roman"/>
                <w:sz w:val="24"/>
                <w:szCs w:val="24"/>
              </w:rPr>
              <w:t xml:space="preserve">Замовника</w:t>
            </w:r>
            <w:r>
              <w:rPr>
                <w:rFonts w:ascii="Times New Roman" w:hAnsi="Times New Roman" w:cs="Times New Roman"/>
                <w:sz w:val="24"/>
                <w:szCs w:val="24"/>
              </w:rPr>
              <w:t xml:space="preserve"> (у разі встановлення інженером Виконавця такої необхідності)</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 </w:t>
            </w:r>
            <w:r/>
          </w:p>
          <w:p>
            <w:pPr>
              <w:jc w:val="cente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(згідно пріоритетів)</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W w:w="6913"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Стандартна звітність по зверненнями до Виконавця в рамках надання Послуг – за запитом.</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r>
      <w:tr>
        <w:trPr/>
        <w:tc>
          <w:tcPr>
            <w:shd w:val="clear" w:color="auto" w:fill="auto"/>
            <w:tcW w:w="57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W w:w="691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Додаткові послуги, не зазначені вище, надаються за узгодженням між Виконавцем та Замовником. Обсяг робіт, умови їх виконання та ціна погоджуються в кожному випадку окремо у відповідних зверненнях.</w:t>
            </w:r>
            <w:r/>
          </w:p>
        </w:tc>
        <w:tc>
          <w:tcPr>
            <w:shd w:val="clear" w:color="auto" w:fill="auto"/>
            <w:tcW w:w="2221"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додаткового узгодження</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Детальний опис складової технічної підтримки в частині </w:t>
      </w:r>
      <w:r>
        <w:rPr>
          <w:rFonts w:ascii="Times New Roman" w:hAnsi="Times New Roman" w:cs="Times New Roman"/>
          <w:b/>
          <w:sz w:val="24"/>
          <w:szCs w:val="24"/>
        </w:rPr>
        <w:t xml:space="preserve">гіперконвергентного</w:t>
      </w:r>
      <w:r>
        <w:rPr>
          <w:rFonts w:ascii="Times New Roman" w:hAnsi="Times New Roman" w:cs="Times New Roman"/>
          <w:b/>
          <w:sz w:val="24"/>
          <w:szCs w:val="24"/>
        </w:rPr>
        <w:t xml:space="preserve"> обчислювального кластеру DELL </w:t>
      </w:r>
      <w:r>
        <w:rPr>
          <w:rFonts w:ascii="Times New Roman" w:hAnsi="Times New Roman" w:cs="Times New Roman"/>
          <w:b/>
          <w:sz w:val="24"/>
          <w:szCs w:val="24"/>
        </w:rPr>
        <w:t xml:space="preserve">VxRail</w:t>
      </w:r>
      <w:r>
        <w:rPr>
          <w:rFonts w:ascii="Times New Roman" w:hAnsi="Times New Roman" w:cs="Times New Roman"/>
          <w:b/>
          <w:sz w:val="24"/>
          <w:szCs w:val="24"/>
        </w:rPr>
        <w:t xml:space="preserve"> (5 </w:t>
      </w:r>
      <w:r>
        <w:rPr>
          <w:rFonts w:ascii="Times New Roman" w:hAnsi="Times New Roman" w:cs="Times New Roman"/>
          <w:b/>
          <w:sz w:val="24"/>
          <w:szCs w:val="24"/>
        </w:rPr>
        <w:t xml:space="preserve">нод</w:t>
      </w:r>
      <w:r>
        <w:rPr>
          <w:rFonts w:ascii="Times New Roman" w:hAnsi="Times New Roman" w:cs="Times New Roman"/>
          <w:b/>
          <w:sz w:val="24"/>
          <w:szCs w:val="24"/>
        </w:rPr>
        <w:t xml:space="preserve">) з набором програмного забезпечення </w:t>
      </w:r>
      <w:r>
        <w:rPr>
          <w:rFonts w:ascii="Times New Roman" w:hAnsi="Times New Roman" w:cs="Times New Roman"/>
          <w:b/>
          <w:sz w:val="24"/>
          <w:szCs w:val="24"/>
        </w:rPr>
        <w:t xml:space="preserve">VmWare</w:t>
      </w:r>
      <w:r>
        <w:rPr>
          <w:rFonts w:ascii="Times New Roman" w:hAnsi="Times New Roman" w:cs="Times New Roman"/>
          <w:b/>
          <w:sz w:val="24"/>
          <w:szCs w:val="24"/>
        </w:rPr>
        <w:t xml:space="preserve"> (</w:t>
      </w:r>
      <w:r>
        <w:rPr>
          <w:rFonts w:ascii="Times New Roman" w:hAnsi="Times New Roman" w:cs="Times New Roman"/>
          <w:b/>
          <w:sz w:val="24"/>
          <w:szCs w:val="24"/>
        </w:rPr>
        <w:t xml:space="preserve">vSphere</w:t>
      </w:r>
      <w:r>
        <w:rPr>
          <w:rFonts w:ascii="Times New Roman" w:hAnsi="Times New Roman" w:cs="Times New Roman"/>
          <w:b/>
          <w:sz w:val="24"/>
          <w:szCs w:val="24"/>
        </w:rPr>
        <w:t xml:space="preserve"> </w:t>
      </w:r>
      <w:r>
        <w:rPr>
          <w:rFonts w:ascii="Times New Roman" w:hAnsi="Times New Roman" w:cs="Times New Roman"/>
          <w:b/>
          <w:sz w:val="24"/>
          <w:szCs w:val="24"/>
        </w:rPr>
        <w:t xml:space="preserve">Enterprise</w:t>
      </w:r>
      <w:r>
        <w:rPr>
          <w:rFonts w:ascii="Times New Roman" w:hAnsi="Times New Roman" w:cs="Times New Roman"/>
          <w:b/>
          <w:sz w:val="24"/>
          <w:szCs w:val="24"/>
        </w:rPr>
        <w:t xml:space="preserve"> </w:t>
      </w:r>
      <w:r>
        <w:rPr>
          <w:rFonts w:ascii="Times New Roman" w:hAnsi="Times New Roman" w:cs="Times New Roman"/>
          <w:b/>
          <w:sz w:val="24"/>
          <w:szCs w:val="24"/>
        </w:rPr>
        <w:t xml:space="preserve">Plus</w:t>
      </w:r>
      <w:r>
        <w:rPr>
          <w:rFonts w:ascii="Times New Roman" w:hAnsi="Times New Roman" w:cs="Times New Roman"/>
          <w:b/>
          <w:sz w:val="24"/>
          <w:szCs w:val="24"/>
        </w:rPr>
        <w:t xml:space="preserve">, </w:t>
      </w:r>
      <w:r>
        <w:rPr>
          <w:rFonts w:ascii="Times New Roman" w:hAnsi="Times New Roman" w:cs="Times New Roman"/>
          <w:b/>
          <w:sz w:val="24"/>
          <w:szCs w:val="24"/>
        </w:rPr>
        <w:t xml:space="preserve">vSAN</w:t>
      </w:r>
      <w:r>
        <w:rPr>
          <w:rFonts w:ascii="Times New Roman" w:hAnsi="Times New Roman" w:cs="Times New Roman"/>
          <w:b/>
          <w:sz w:val="24"/>
          <w:szCs w:val="24"/>
        </w:rPr>
        <w:t xml:space="preserve"> </w:t>
      </w:r>
      <w:r>
        <w:rPr>
          <w:rFonts w:ascii="Times New Roman" w:hAnsi="Times New Roman" w:cs="Times New Roman"/>
          <w:b/>
          <w:sz w:val="24"/>
          <w:szCs w:val="24"/>
        </w:rPr>
        <w:t xml:space="preserve">Advanced</w:t>
      </w:r>
      <w:r>
        <w:rPr>
          <w:rFonts w:ascii="Times New Roman" w:hAnsi="Times New Roman" w:cs="Times New Roman"/>
          <w:b/>
          <w:sz w:val="24"/>
          <w:szCs w:val="24"/>
        </w:rPr>
        <w:t xml:space="preserve">):</w:t>
      </w:r>
      <w:r/>
    </w:p>
    <w:tbl>
      <w:tblPr>
        <w:tblW w:w="96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8689"/>
      </w:tblGrid>
      <w:tr>
        <w:trPr>
          <w:tblHeader/>
        </w:trPr>
        <w:tc>
          <w:tcPr>
            <w:shd w:val="clear" w:color="auto" w:fill="d9d9d9" w:themeFill="background1" w:themeFillShade="D9"/>
            <w:tcW w:w="993" w:type="dxa"/>
            <w:vAlign w:val="center"/>
            <w:textDirection w:val="lrTb"/>
            <w:noWrap w:val="false"/>
          </w:tcPr>
          <w:p>
            <w:pPr>
              <w:jc w:val="center"/>
              <w:spacing w:after="0" w:line="240" w:lineRule="auto"/>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п/п</w:t>
            </w:r>
            <w:r/>
          </w:p>
        </w:tc>
        <w:tc>
          <w:tcPr>
            <w:shd w:val="clear" w:color="auto" w:fill="d9d9d9" w:themeFill="background1" w:themeFillShade="D9"/>
            <w:tcW w:w="8689" w:type="dxa"/>
            <w:vAlign w:val="center"/>
            <w:textDirection w:val="lrTb"/>
            <w:noWrap w:val="false"/>
          </w:tcPr>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p>
        </w:tc>
      </w:tr>
      <w:tr>
        <w:trPr/>
        <w:tc>
          <w:tcPr>
            <w:shd w:val="clear" w:color="auto" w:fill="auto"/>
            <w:tcW w:w="993" w:type="dxa"/>
            <w:textDirection w:val="lrTb"/>
            <w:noWrap w:val="false"/>
          </w:tcPr>
          <w:p>
            <w:pPr>
              <w:numPr>
                <w:ilvl w:val="0"/>
                <w:numId w:val="4"/>
              </w:numPr>
              <w:ind w:left="0" w:firstLine="318"/>
              <w:jc w:val="center"/>
              <w:spacing w:after="0" w:line="240" w:lineRule="auto"/>
              <w:widowControl w:val="off"/>
              <w:tabs>
                <w:tab w:val="num" w:pos="318" w:leader="none"/>
                <w:tab w:val="clear" w:pos="720" w:leader="none"/>
              </w:tabs>
              <w:rPr>
                <w:rFonts w:ascii="Times New Roman" w:hAnsi="Times New Roman" w:cs="Times New Roman"/>
                <w:sz w:val="24"/>
                <w:szCs w:val="24"/>
                <w:lang w:eastAsia="ar-SA"/>
              </w:rPr>
            </w:pPr>
            <w:r>
              <w:rPr>
                <w:rFonts w:ascii="Times New Roman" w:hAnsi="Times New Roman" w:cs="Times New Roman"/>
                <w:sz w:val="24"/>
                <w:szCs w:val="24"/>
                <w:lang w:eastAsia="ar-SA"/>
              </w:rPr>
            </w:r>
            <w:r/>
          </w:p>
        </w:tc>
        <w:tc>
          <w:tcPr>
            <w:shd w:val="clear" w:color="auto" w:fill="auto"/>
            <w:tcW w:w="8689" w:type="dxa"/>
            <w:textDirection w:val="lrTb"/>
            <w:noWrap w:val="false"/>
          </w:tcPr>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В рамках надання технічної підтримки Виконавець має здійснювати:</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Адміністрування функціонування апаратної складової кластеру:</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апаратної складової кластеру (параметри BIOS);</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модифікація параметрів дискової підсистеми;</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параметрів мережевих інтерфейсів;</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 та/або </w:t>
            </w:r>
            <w:r>
              <w:rPr>
                <w:rFonts w:ascii="Times New Roman" w:hAnsi="Times New Roman" w:cs="Times New Roman"/>
                <w:bCs/>
                <w:sz w:val="24"/>
                <w:szCs w:val="24"/>
                <w:lang w:val="uk-UA" w:eastAsia="ar-SA"/>
              </w:rPr>
              <w:t xml:space="preserve">мікрокодів</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firmware</w:t>
            </w:r>
            <w:r>
              <w:rPr>
                <w:rFonts w:ascii="Times New Roman" w:hAnsi="Times New Roman" w:cs="Times New Roman"/>
                <w:bCs/>
                <w:sz w:val="24"/>
                <w:szCs w:val="24"/>
                <w:lang w:val="uk-UA" w:eastAsia="ar-SA"/>
              </w:rPr>
              <w:t xml:space="preserve">) апаратного забезпечення, відповідно до рекомендацій виробника;</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Модифікація налаштувань для виконання рекомендацій виробників та кращих практик експлуатації рішень.</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 апаратної складової кластеру:</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Супровід робіт з заміни несправних елементів:</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У разі виходу з ладу апаратних компонентів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обчислювального кластеру (центральний процесор, оперативна пам’ять, дискові накопичувачі, мережеві карти, RAID-контролери, карти розширення, блоки живлення, вентилятори, тощо), здійснювати отримання замінних компонентів у виробника;</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Здійснення заміни несправних компонентів на місці розташування обладнання. Підмінні компоненти мають надаватися виробником.</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Супровід масштабування системи (додавання вузлів, дисків, тощо).</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Адміністрування функціонування програмної складової кластеру:</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w:t>
            </w:r>
            <w:r>
              <w:rPr>
                <w:rFonts w:ascii="Times New Roman" w:hAnsi="Times New Roman" w:cs="Times New Roman"/>
                <w:bCs/>
                <w:sz w:val="24"/>
                <w:szCs w:val="24"/>
                <w:lang w:val="uk-UA" w:eastAsia="ar-SA"/>
              </w:rPr>
              <w:t xml:space="preserve">гіпервізорів</w:t>
            </w:r>
            <w:r>
              <w:rPr>
                <w:rFonts w:ascii="Times New Roman" w:hAnsi="Times New Roman" w:cs="Times New Roman"/>
                <w:bCs/>
                <w:sz w:val="24"/>
                <w:szCs w:val="24"/>
                <w:lang w:val="uk-UA" w:eastAsia="ar-SA"/>
              </w:rPr>
              <w:t xml:space="preserve">;</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дискових масивів (</w:t>
            </w:r>
            <w:r>
              <w:rPr>
                <w:rFonts w:ascii="Times New Roman" w:hAnsi="Times New Roman" w:cs="Times New Roman"/>
                <w:bCs/>
                <w:sz w:val="24"/>
                <w:szCs w:val="24"/>
                <w:lang w:val="uk-UA" w:eastAsia="ar-SA"/>
              </w:rPr>
              <w:t xml:space="preserve">Datastores</w:t>
            </w:r>
            <w:r>
              <w:rPr>
                <w:rFonts w:ascii="Times New Roman" w:hAnsi="Times New Roman" w:cs="Times New Roman"/>
                <w:bCs/>
                <w:sz w:val="24"/>
                <w:szCs w:val="24"/>
                <w:lang w:val="uk-UA" w:eastAsia="ar-SA"/>
              </w:rPr>
              <w:t xml:space="preserve">);</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компоненту </w:t>
            </w:r>
            <w:r>
              <w:rPr>
                <w:rFonts w:ascii="Times New Roman" w:hAnsi="Times New Roman" w:cs="Times New Roman"/>
                <w:bCs/>
                <w:sz w:val="24"/>
                <w:szCs w:val="24"/>
                <w:lang w:val="uk-UA" w:eastAsia="ar-SA"/>
              </w:rPr>
              <w:t xml:space="preserve">vSAN</w:t>
            </w:r>
            <w:r>
              <w:rPr>
                <w:rFonts w:ascii="Times New Roman" w:hAnsi="Times New Roman" w:cs="Times New Roman"/>
                <w:bCs/>
                <w:sz w:val="24"/>
                <w:szCs w:val="24"/>
                <w:lang w:val="uk-UA" w:eastAsia="ar-SA"/>
              </w:rPr>
              <w:t xml:space="preserve">. Створення модифікація політик збереження даних;</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механізмів оптимізації використання дискового простору (</w:t>
            </w:r>
            <w:r>
              <w:rPr>
                <w:rFonts w:ascii="Times New Roman" w:hAnsi="Times New Roman" w:cs="Times New Roman"/>
                <w:bCs/>
                <w:sz w:val="24"/>
                <w:szCs w:val="24"/>
                <w:lang w:val="uk-UA" w:eastAsia="ar-SA"/>
              </w:rPr>
              <w:t xml:space="preserve">дедуплікація</w:t>
            </w:r>
            <w:r>
              <w:rPr>
                <w:rFonts w:ascii="Times New Roman" w:hAnsi="Times New Roman" w:cs="Times New Roman"/>
                <w:bCs/>
                <w:sz w:val="24"/>
                <w:szCs w:val="24"/>
                <w:lang w:val="uk-UA" w:eastAsia="ar-SA"/>
              </w:rPr>
              <w:t xml:space="preserve">, компресія);</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мережевої компоненти: створення, редагування, видалення віртуальних комутаторів, порт груп, мережевих політик, тощо;</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редагування параметрів віртуальних машин;</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редагування шаблонів віртуальних машин;</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Управління знімками віртуальних машин (</w:t>
            </w:r>
            <w:r>
              <w:rPr>
                <w:rFonts w:ascii="Times New Roman" w:hAnsi="Times New Roman" w:cs="Times New Roman"/>
                <w:bCs/>
                <w:sz w:val="24"/>
                <w:szCs w:val="24"/>
                <w:lang w:val="uk-UA" w:eastAsia="ar-SA"/>
              </w:rPr>
              <w:t xml:space="preserve">snapshot</w:t>
            </w:r>
            <w:r>
              <w:rPr>
                <w:rFonts w:ascii="Times New Roman" w:hAnsi="Times New Roman" w:cs="Times New Roman"/>
                <w:bCs/>
                <w:sz w:val="24"/>
                <w:szCs w:val="24"/>
                <w:lang w:val="uk-UA" w:eastAsia="ar-SA"/>
              </w:rPr>
              <w:t xml:space="preserve">);</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Оновлення програмного забезпечення </w:t>
            </w:r>
            <w:r>
              <w:rPr>
                <w:rFonts w:ascii="Times New Roman" w:hAnsi="Times New Roman" w:cs="Times New Roman"/>
                <w:bCs/>
                <w:sz w:val="24"/>
                <w:szCs w:val="24"/>
                <w:lang w:val="uk-UA" w:eastAsia="ar-SA"/>
              </w:rPr>
              <w:t xml:space="preserve">гіпервізорів</w:t>
            </w:r>
            <w:r>
              <w:rPr>
                <w:rFonts w:ascii="Times New Roman" w:hAnsi="Times New Roman" w:cs="Times New Roman"/>
                <w:bCs/>
                <w:sz w:val="24"/>
                <w:szCs w:val="24"/>
                <w:lang w:val="uk-UA" w:eastAsia="ar-SA"/>
              </w:rPr>
              <w:t xml:space="preserve">, компоненту керування (застосування рекомендованих виробником версій) відповідно до узгоджених рекомендацій виробника;</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Інтеграція з інфраструктурою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 реалізація рольової моделі контролю доступу.</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 та/або </w:t>
            </w:r>
            <w:r>
              <w:rPr>
                <w:rFonts w:ascii="Times New Roman" w:hAnsi="Times New Roman" w:cs="Times New Roman"/>
                <w:bCs/>
                <w:sz w:val="24"/>
                <w:szCs w:val="24"/>
                <w:lang w:val="uk-UA" w:eastAsia="ar-SA"/>
              </w:rPr>
              <w:t xml:space="preserve">мікрокодів</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firmware</w:t>
            </w:r>
            <w:r>
              <w:rPr>
                <w:rFonts w:ascii="Times New Roman" w:hAnsi="Times New Roman" w:cs="Times New Roman"/>
                <w:bCs/>
                <w:sz w:val="24"/>
                <w:szCs w:val="24"/>
                <w:lang w:val="uk-UA" w:eastAsia="ar-SA"/>
              </w:rPr>
              <w:t xml:space="preserve">) апаратного забезпечення, відповідно до рекомендацій виробника;</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Модифікація налаштувань для виконання рекомендацій виробників та кращих практик експлуатації рішень.</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віртуальних машин, дискової підсистеми, мережевої підсистеми;</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Виявлення та усунення помилок функціонування обчислювального кластеру</w:t>
            </w:r>
            <w:r/>
          </w:p>
          <w:p>
            <w:pPr>
              <w:pStyle w:val="673"/>
              <w:numPr>
                <w:ilvl w:val="0"/>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r/>
          </w:p>
          <w:p>
            <w:pPr>
              <w:pStyle w:val="673"/>
              <w:numPr>
                <w:ilvl w:val="2"/>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рішення обчислювального кластеру;</w:t>
            </w:r>
            <w:r/>
          </w:p>
          <w:p>
            <w:pPr>
              <w:pStyle w:val="673"/>
              <w:numPr>
                <w:ilvl w:val="2"/>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налаштувань;</w:t>
            </w:r>
            <w:r/>
          </w:p>
          <w:p>
            <w:pPr>
              <w:pStyle w:val="673"/>
              <w:numPr>
                <w:ilvl w:val="2"/>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Інструкція системного адміністратора щодо експлуатації рішення;</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 виконаних дій;</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прийнятих рішень.</w:t>
            </w:r>
            <w:r/>
          </w:p>
          <w:p>
            <w:pPr>
              <w:pStyle w:val="673"/>
              <w:numPr>
                <w:ilvl w:val="1"/>
                <w:numId w:val="5"/>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навчання представників Замовника в частині експлуатації рішення.</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5828" w:leader="none"/>
        </w:tabs>
        <w:rPr>
          <w:rFonts w:ascii="Times New Roman" w:hAnsi="Times New Roman" w:cs="Times New Roman"/>
          <w:b/>
          <w:bCs/>
          <w:sz w:val="24"/>
          <w:szCs w:val="24"/>
        </w:rPr>
      </w:pPr>
      <w:r>
        <w:rPr>
          <w:rFonts w:ascii="Times New Roman" w:hAnsi="Times New Roman" w:cs="Times New Roman"/>
          <w:b/>
          <w:sz w:val="24"/>
          <w:szCs w:val="24"/>
        </w:rPr>
        <w:t xml:space="preserve">Детальний опис складової технічної підтримки в частині </w:t>
      </w:r>
      <w:r>
        <w:rPr>
          <w:rFonts w:ascii="Times New Roman" w:hAnsi="Times New Roman" w:cs="Times New Roman"/>
          <w:b/>
          <w:bCs/>
          <w:sz w:val="24"/>
          <w:szCs w:val="24"/>
        </w:rPr>
        <w:t xml:space="preserve">системи збереження даних DELL </w:t>
      </w:r>
      <w:r>
        <w:rPr>
          <w:rFonts w:ascii="Times New Roman" w:hAnsi="Times New Roman" w:cs="Times New Roman"/>
          <w:b/>
          <w:bCs/>
          <w:sz w:val="24"/>
          <w:szCs w:val="24"/>
        </w:rPr>
        <w:t xml:space="preserve">PowerScale</w:t>
      </w:r>
      <w:r>
        <w:rPr>
          <w:rFonts w:ascii="Times New Roman" w:hAnsi="Times New Roman" w:cs="Times New Roman"/>
          <w:b/>
          <w:bCs/>
          <w:sz w:val="24"/>
          <w:szCs w:val="24"/>
        </w:rPr>
        <w:t xml:space="preserve">/ISILON A200 (4 </w:t>
      </w:r>
      <w:r>
        <w:rPr>
          <w:rFonts w:ascii="Times New Roman" w:hAnsi="Times New Roman" w:cs="Times New Roman"/>
          <w:b/>
          <w:bCs/>
          <w:sz w:val="24"/>
          <w:szCs w:val="24"/>
        </w:rPr>
        <w:t xml:space="preserve">ноди</w:t>
      </w:r>
      <w:r>
        <w:rPr>
          <w:rFonts w:ascii="Times New Roman" w:hAnsi="Times New Roman" w:cs="Times New Roman"/>
          <w:b/>
          <w:bCs/>
          <w:sz w:val="24"/>
          <w:szCs w:val="24"/>
        </w:rPr>
        <w:t xml:space="preserve">) з комутаторами DELL S4112 (2 шт.):</w:t>
      </w:r>
      <w:r/>
    </w:p>
    <w:tbl>
      <w:tblPr>
        <w:tblW w:w="97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8779"/>
      </w:tblGrid>
      <w:tr>
        <w:trPr>
          <w:tblHeader/>
        </w:trPr>
        <w:tc>
          <w:tcPr>
            <w:shd w:val="clear" w:color="auto" w:fill="d9d9d9" w:themeFill="background1" w:themeFillShade="D9"/>
            <w:tcW w:w="993" w:type="dxa"/>
            <w:vAlign w:val="center"/>
            <w:textDirection w:val="lrTb"/>
            <w:noWrap w:val="false"/>
          </w:tcPr>
          <w:p>
            <w:pPr>
              <w:jc w:val="center"/>
              <w:spacing w:after="0" w:line="240" w:lineRule="auto"/>
              <w:rPr>
                <w:rFonts w:ascii="Times New Roman" w:hAnsi="Times New Roman" w:cs="Times New Roman"/>
                <w:sz w:val="24"/>
                <w:szCs w:val="24"/>
                <w:lang w:val="en-US" w:eastAsia="ar-SA"/>
              </w:rPr>
            </w:pPr>
            <w:r>
              <w:rPr>
                <w:rFonts w:ascii="Times New Roman" w:hAnsi="Times New Roman" w:cs="Times New Roman"/>
                <w:b/>
                <w:sz w:val="24"/>
                <w:szCs w:val="24"/>
                <w:lang w:eastAsia="ar-SA"/>
              </w:rPr>
              <w:t xml:space="preserve">№ п/п</w:t>
            </w:r>
            <w:r/>
          </w:p>
        </w:tc>
        <w:tc>
          <w:tcPr>
            <w:shd w:val="clear" w:color="auto" w:fill="d9d9d9" w:themeFill="background1" w:themeFillShade="D9"/>
            <w:tcW w:w="8779" w:type="dxa"/>
            <w:vAlign w:val="center"/>
            <w:textDirection w:val="lrTb"/>
            <w:noWrap w:val="false"/>
          </w:tcPr>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p>
        </w:tc>
      </w:tr>
      <w:tr>
        <w:trPr/>
        <w:tc>
          <w:tcPr>
            <w:shd w:val="clear" w:color="auto" w:fill="auto"/>
            <w:tcW w:w="993" w:type="dxa"/>
            <w:textDirection w:val="lrTb"/>
            <w:noWrap w:val="false"/>
          </w:tcPr>
          <w:p>
            <w:pPr>
              <w:numPr>
                <w:ilvl w:val="0"/>
                <w:numId w:val="4"/>
              </w:numPr>
              <w:ind w:left="0" w:firstLine="318"/>
              <w:jc w:val="center"/>
              <w:spacing w:after="0" w:line="240" w:lineRule="auto"/>
              <w:widowControl w:val="off"/>
              <w:tabs>
                <w:tab w:val="num" w:pos="318" w:leader="none"/>
                <w:tab w:val="clear" w:pos="720" w:leader="none"/>
              </w:tabs>
              <w:rPr>
                <w:rFonts w:ascii="Times New Roman" w:hAnsi="Times New Roman" w:cs="Times New Roman"/>
                <w:sz w:val="24"/>
                <w:szCs w:val="24"/>
                <w:lang w:eastAsia="ar-SA"/>
              </w:rPr>
            </w:pPr>
            <w:r>
              <w:rPr>
                <w:rFonts w:ascii="Times New Roman" w:hAnsi="Times New Roman" w:cs="Times New Roman"/>
                <w:sz w:val="24"/>
                <w:szCs w:val="24"/>
                <w:lang w:eastAsia="ar-SA"/>
              </w:rPr>
            </w:r>
            <w:r/>
          </w:p>
        </w:tc>
        <w:tc>
          <w:tcPr>
            <w:shd w:val="clear" w:color="auto" w:fill="auto"/>
            <w:tcW w:w="8779" w:type="dxa"/>
            <w:textDirection w:val="lrTb"/>
            <w:noWrap w:val="false"/>
          </w:tcPr>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В рамках надання технічної підтримки Виконавець має здійснювати:</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Адміністрування функціонування:</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операційної системи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системи збереження даних </w:t>
            </w:r>
            <w:r>
              <w:rPr>
                <w:rFonts w:ascii="Times New Roman" w:hAnsi="Times New Roman" w:cs="Times New Roman"/>
                <w:bCs/>
                <w:sz w:val="24"/>
                <w:szCs w:val="24"/>
                <w:lang w:val="uk-UA" w:eastAsia="ar-SA"/>
              </w:rPr>
              <w:t xml:space="preserve">OneFS</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дискової підсистеми;</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мережевої підсистеми (інтерфейси, мережеві зони (“Access </w:t>
            </w:r>
            <w:r>
              <w:rPr>
                <w:rFonts w:ascii="Times New Roman" w:hAnsi="Times New Roman" w:cs="Times New Roman"/>
                <w:bCs/>
                <w:sz w:val="24"/>
                <w:szCs w:val="24"/>
                <w:lang w:val="uk-UA" w:eastAsia="ar-SA"/>
              </w:rPr>
              <w:t xml:space="preserve">zones</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та адміністрування мережевих каталогів NFS v.4/v.3, SMB v.3/v.2 (включаючи </w:t>
            </w:r>
            <w:r>
              <w:rPr>
                <w:rFonts w:ascii="Times New Roman" w:hAnsi="Times New Roman" w:cs="Times New Roman"/>
                <w:bCs/>
                <w:sz w:val="24"/>
                <w:szCs w:val="24"/>
                <w:lang w:val="uk-UA" w:eastAsia="ar-SA"/>
              </w:rPr>
              <w:t xml:space="preserve">Multichannel</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Continuous</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Availability</w:t>
            </w:r>
            <w:r>
              <w:rPr>
                <w:rFonts w:ascii="Times New Roman" w:hAnsi="Times New Roman" w:cs="Times New Roman"/>
                <w:bCs/>
                <w:sz w:val="24"/>
                <w:szCs w:val="24"/>
                <w:lang w:val="uk-UA" w:eastAsia="ar-SA"/>
              </w:rPr>
              <w:t xml:space="preserve">), FTP.</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контролю доступу до мережевих каталогів, модифікація параметрів функціонування, тощо;</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користувачів та груп доступу до мережевих каталогів;</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автентифікації користувачів до сервісів системи (локальна база користувачів та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компоненту балансування навантаження між елементами системи збереження даних </w:t>
            </w:r>
            <w:r>
              <w:rPr>
                <w:rFonts w:ascii="Times New Roman" w:hAnsi="Times New Roman" w:cs="Times New Roman"/>
                <w:bCs/>
                <w:sz w:val="24"/>
                <w:szCs w:val="24"/>
                <w:lang w:val="uk-UA" w:eastAsia="ar-SA"/>
              </w:rPr>
              <w:t xml:space="preserve">SmartConnect</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механізмів захисту від видалення даних WORM (</w:t>
            </w:r>
            <w:r>
              <w:rPr>
                <w:rFonts w:ascii="Times New Roman" w:hAnsi="Times New Roman" w:cs="Times New Roman"/>
                <w:bCs/>
                <w:sz w:val="24"/>
                <w:szCs w:val="24"/>
                <w:lang w:val="uk-UA" w:eastAsia="ar-SA"/>
              </w:rPr>
              <w:t xml:space="preserve">Write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Once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Read</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Many</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 та/або </w:t>
            </w:r>
            <w:r>
              <w:rPr>
                <w:rFonts w:ascii="Times New Roman" w:hAnsi="Times New Roman" w:cs="Times New Roman"/>
                <w:bCs/>
                <w:sz w:val="24"/>
                <w:szCs w:val="24"/>
                <w:lang w:val="uk-UA" w:eastAsia="ar-SA"/>
              </w:rPr>
              <w:t xml:space="preserve">мікрокодів</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firmware</w:t>
            </w:r>
            <w:r>
              <w:rPr>
                <w:rFonts w:ascii="Times New Roman" w:hAnsi="Times New Roman" w:cs="Times New Roman"/>
                <w:bCs/>
                <w:sz w:val="24"/>
                <w:szCs w:val="24"/>
                <w:lang w:val="uk-UA" w:eastAsia="ar-SA"/>
              </w:rPr>
              <w:t xml:space="preserve">) апаратного забезпечення, відповідно до рекомендацій виробника;</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Модифікація налаштувань для виконання рекомендацій виробників та кращих практик експлуатації рішень.</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ємності та продуктивності всієї системи збереження даних та кожної з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системи збереження даних (центральний процесор, оперативна пам’ять, дискові накопичувачі, мережеві карти, блоки живлення, вентилятори, тощо).</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операційної системи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системи збереження даних та функціонуючих сервісів;</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Виявлення та усунення помилок функціонування системи збереження даних</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Супровід робіт з заміни несправних елементів:</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У разі виходу з ладу апаратних компонентів  </w:t>
            </w:r>
            <w:r>
              <w:rPr>
                <w:rFonts w:ascii="Times New Roman" w:hAnsi="Times New Roman" w:cs="Times New Roman"/>
                <w:bCs/>
                <w:sz w:val="24"/>
                <w:szCs w:val="24"/>
                <w:lang w:val="uk-UA" w:eastAsia="ar-SA"/>
              </w:rPr>
              <w:t xml:space="preserve">нод</w:t>
            </w:r>
            <w:r>
              <w:rPr>
                <w:rFonts w:ascii="Times New Roman" w:hAnsi="Times New Roman" w:cs="Times New Roman"/>
                <w:bCs/>
                <w:sz w:val="24"/>
                <w:szCs w:val="24"/>
                <w:lang w:val="uk-UA" w:eastAsia="ar-SA"/>
              </w:rPr>
              <w:t xml:space="preserve"> системи збереження даних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Здійснення заміни несправних компонентів на місці розташування обладнання. Підмінні компоненти мають надаватися виробником.</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r/>
          </w:p>
          <w:p>
            <w:pPr>
              <w:pStyle w:val="673"/>
              <w:numPr>
                <w:ilvl w:val="2"/>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рішення збереження даних;</w:t>
            </w:r>
            <w:r/>
          </w:p>
          <w:p>
            <w:pPr>
              <w:pStyle w:val="673"/>
              <w:numPr>
                <w:ilvl w:val="2"/>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налаштувань;</w:t>
            </w:r>
            <w:r/>
          </w:p>
          <w:p>
            <w:pPr>
              <w:pStyle w:val="673"/>
              <w:numPr>
                <w:ilvl w:val="2"/>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Інструкція системного адміністратора щодо експлуатації рішення;</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 виконаних дій;</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прийнятих рішень.</w:t>
            </w:r>
            <w:r/>
          </w:p>
          <w:p>
            <w:pPr>
              <w:pStyle w:val="673"/>
              <w:numPr>
                <w:ilvl w:val="1"/>
                <w:numId w:val="7"/>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навчання представників Замовника в частині експлуатації рішення.</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5828" w:leader="none"/>
        </w:tabs>
        <w:rPr>
          <w:rFonts w:ascii="Times New Roman" w:hAnsi="Times New Roman" w:cs="Times New Roman"/>
          <w:b/>
          <w:bCs/>
          <w:sz w:val="24"/>
          <w:szCs w:val="24"/>
        </w:rPr>
      </w:pPr>
      <w:r>
        <w:rPr>
          <w:rFonts w:ascii="Times New Roman" w:hAnsi="Times New Roman" w:cs="Times New Roman"/>
          <w:b/>
          <w:sz w:val="24"/>
          <w:szCs w:val="24"/>
        </w:rPr>
        <w:t xml:space="preserve">Детальний опис складової технічної підтримки в частині </w:t>
      </w:r>
      <w:r>
        <w:rPr>
          <w:rFonts w:ascii="Times New Roman" w:hAnsi="Times New Roman" w:cs="Times New Roman"/>
          <w:b/>
          <w:bCs/>
          <w:sz w:val="24"/>
          <w:szCs w:val="24"/>
        </w:rPr>
        <w:t xml:space="preserve">системи резервного копіювання та відновлення даних DELL IDPA 4400:</w:t>
      </w:r>
      <w:r/>
    </w:p>
    <w:tbl>
      <w:tblP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8817"/>
      </w:tblGrid>
      <w:tr>
        <w:trPr>
          <w:tblHeader/>
        </w:trPr>
        <w:tc>
          <w:tcPr>
            <w:shd w:val="clear" w:color="auto" w:fill="d9d9d9" w:themeFill="background1" w:themeFillShade="D9"/>
            <w:tcW w:w="993" w:type="dxa"/>
            <w:vAlign w:val="center"/>
            <w:textDirection w:val="lrTb"/>
            <w:noWrap w:val="false"/>
          </w:tcPr>
          <w:p>
            <w:pPr>
              <w:jc w:val="center"/>
              <w:spacing w:after="0" w:line="240" w:lineRule="auto"/>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п/п</w:t>
            </w:r>
            <w:r/>
          </w:p>
        </w:tc>
        <w:tc>
          <w:tcPr>
            <w:shd w:val="clear" w:color="auto" w:fill="d9d9d9" w:themeFill="background1" w:themeFillShade="D9"/>
            <w:tcW w:w="8817" w:type="dxa"/>
            <w:vAlign w:val="center"/>
            <w:textDirection w:val="lrTb"/>
            <w:noWrap w:val="false"/>
          </w:tcPr>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p>
        </w:tc>
      </w:tr>
      <w:tr>
        <w:trPr/>
        <w:tc>
          <w:tcPr>
            <w:shd w:val="clear" w:color="auto" w:fill="auto"/>
            <w:tcW w:w="993" w:type="dxa"/>
            <w:textDirection w:val="lrTb"/>
            <w:noWrap w:val="false"/>
          </w:tcPr>
          <w:p>
            <w:pPr>
              <w:numPr>
                <w:ilvl w:val="0"/>
                <w:numId w:val="4"/>
              </w:numPr>
              <w:ind w:left="0" w:firstLine="318"/>
              <w:jc w:val="center"/>
              <w:spacing w:after="0" w:line="240" w:lineRule="auto"/>
              <w:widowControl w:val="off"/>
              <w:tabs>
                <w:tab w:val="num" w:pos="318" w:leader="none"/>
                <w:tab w:val="clear" w:pos="720" w:leader="none"/>
              </w:tabs>
              <w:rPr>
                <w:rFonts w:ascii="Times New Roman" w:hAnsi="Times New Roman" w:cs="Times New Roman"/>
                <w:sz w:val="24"/>
                <w:szCs w:val="24"/>
                <w:lang w:eastAsia="ar-SA"/>
              </w:rPr>
            </w:pPr>
            <w:r>
              <w:rPr>
                <w:rFonts w:ascii="Times New Roman" w:hAnsi="Times New Roman" w:cs="Times New Roman"/>
                <w:sz w:val="24"/>
                <w:szCs w:val="24"/>
                <w:lang w:eastAsia="ar-SA"/>
              </w:rPr>
            </w:r>
            <w:r/>
          </w:p>
        </w:tc>
        <w:tc>
          <w:tcPr>
            <w:shd w:val="clear" w:color="auto" w:fill="auto"/>
            <w:tcW w:w="8817" w:type="dxa"/>
            <w:textDirection w:val="lrTb"/>
            <w:noWrap w:val="false"/>
          </w:tcPr>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В рамках надання технічної підтримки Виконавець має здійснювати:</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Адміністрування функціонування:</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всіх складових компонентів (програмного забезпечення) інтегрованого рішення DELL IDPA;</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завдання резервного копіювання з використанням та без використання агентів резервного копіювання;</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завдання резервного копіювання віртуальних машин </w:t>
            </w:r>
            <w:r>
              <w:rPr>
                <w:rFonts w:ascii="Times New Roman" w:hAnsi="Times New Roman" w:cs="Times New Roman"/>
                <w:bCs/>
                <w:sz w:val="24"/>
                <w:szCs w:val="24"/>
                <w:lang w:val="uk-UA" w:eastAsia="ar-SA"/>
              </w:rPr>
              <w:t xml:space="preserve">віртуалізованого</w:t>
            </w:r>
            <w:r>
              <w:rPr>
                <w:rFonts w:ascii="Times New Roman" w:hAnsi="Times New Roman" w:cs="Times New Roman"/>
                <w:bCs/>
                <w:sz w:val="24"/>
                <w:szCs w:val="24"/>
                <w:lang w:val="uk-UA" w:eastAsia="ar-SA"/>
              </w:rPr>
              <w:t xml:space="preserve"> обчислювального кластеру;</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завдань резервного копіювання додатків інфраструктури Microsoft, зокрема,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 Microsoft SQL Server;</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Виконання відновлення віртуальних машин за заявками Замовника;</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 та/або </w:t>
            </w:r>
            <w:r>
              <w:rPr>
                <w:rFonts w:ascii="Times New Roman" w:hAnsi="Times New Roman" w:cs="Times New Roman"/>
                <w:bCs/>
                <w:sz w:val="24"/>
                <w:szCs w:val="24"/>
                <w:lang w:val="uk-UA" w:eastAsia="ar-SA"/>
              </w:rPr>
              <w:t xml:space="preserve">мікрокодів</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firmware</w:t>
            </w:r>
            <w:r>
              <w:rPr>
                <w:rFonts w:ascii="Times New Roman" w:hAnsi="Times New Roman" w:cs="Times New Roman"/>
                <w:bCs/>
                <w:sz w:val="24"/>
                <w:szCs w:val="24"/>
                <w:lang w:val="uk-UA" w:eastAsia="ar-SA"/>
              </w:rPr>
              <w:t xml:space="preserve">) апаратного забезпечення, відповідно до рекомендацій виробника;</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Модифікація налаштувань для виконання рекомендацій виробників та кращих практик експлуатації рішень.</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інтегрованого рішення DELL IDPA 400 (центральний процесор, оперативна пам’ять, дискові накопичувачі, мережеві карти, блоки живлення, вентилятори, тощо).</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всіх складових компонентів (програмного забезпечення) інтегрованого рішення DELL IDPA;</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результатів виконання резервного копіювання (успішність, або не успішність). Усунення проблем створення резервних копій віртуальних машин та сервісів;</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Виявлення та усунення помилок функціонування системи збереження даних</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Супровід робіт з заміни несправних елементів:</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У разі виходу з ладу апаратних компонентів  інтегрованого рішення DELL IDPA (центральний процесор, оперативна пам’ять, дискові накопичувачі, мережеві карти, блоки живлення, вентилятори, тощо), здійснювати отримання замінних компонентів у виробника;</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Здійснення заміни несправних компонентів на місці розташування обладнання. Підмінні компоненти мають надаватися виробником.</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 </w:t>
            </w:r>
            <w:r/>
          </w:p>
          <w:p>
            <w:pPr>
              <w:pStyle w:val="673"/>
              <w:numPr>
                <w:ilvl w:val="2"/>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рішення резервного копіювання та відновлення даних;</w:t>
            </w:r>
            <w:r/>
          </w:p>
          <w:p>
            <w:pPr>
              <w:pStyle w:val="673"/>
              <w:numPr>
                <w:ilvl w:val="2"/>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налаштувань;</w:t>
            </w:r>
            <w:r/>
          </w:p>
          <w:p>
            <w:pPr>
              <w:pStyle w:val="673"/>
              <w:numPr>
                <w:ilvl w:val="2"/>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Документація стосовно резервного</w:t>
            </w:r>
            <w:r>
              <w:rPr>
                <w:rFonts w:ascii="Times New Roman" w:hAnsi="Times New Roman" w:cs="Times New Roman"/>
                <w:bCs/>
                <w:sz w:val="24"/>
                <w:szCs w:val="24"/>
                <w:lang w:val="uk-UA" w:eastAsia="ar-SA"/>
              </w:rPr>
              <w:t xml:space="preserve"> копіювання та відновлення інформації (наприклад, План резервного копіювання та відновлення інформації, Регламент резервного копіювання та відновлення інформації, Інструкції адміністраторів щодо здійснення резервного копіювання та відновлення інформації); </w:t>
            </w:r>
            <w:r/>
          </w:p>
          <w:p>
            <w:pPr>
              <w:pStyle w:val="673"/>
              <w:numPr>
                <w:ilvl w:val="2"/>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Інструкція системного адміністратора щодо експлуатації рішення.</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 виконаних дій;</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прийнятих рішень.</w:t>
            </w:r>
            <w:r/>
          </w:p>
          <w:p>
            <w:pPr>
              <w:pStyle w:val="673"/>
              <w:numPr>
                <w:ilvl w:val="1"/>
                <w:numId w:val="8"/>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навчання представників Замовника в частині експлуатації рішення.</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5828" w:leader="none"/>
        </w:tabs>
        <w:rPr>
          <w:rFonts w:ascii="Times New Roman" w:hAnsi="Times New Roman" w:cs="Times New Roman"/>
          <w:b/>
          <w:bCs/>
          <w:strike/>
          <w:sz w:val="24"/>
          <w:szCs w:val="24"/>
        </w:rPr>
      </w:pPr>
      <w:r>
        <w:rPr>
          <w:rFonts w:ascii="Times New Roman" w:hAnsi="Times New Roman" w:cs="Times New Roman"/>
          <w:b/>
          <w:sz w:val="24"/>
          <w:szCs w:val="24"/>
        </w:rPr>
        <w:t xml:space="preserve">Детальний опис складової технічної підтримки в частині </w:t>
      </w:r>
      <w:r>
        <w:rPr>
          <w:rFonts w:ascii="Times New Roman" w:hAnsi="Times New Roman" w:cs="Times New Roman"/>
          <w:b/>
          <w:bCs/>
          <w:sz w:val="24"/>
          <w:szCs w:val="24"/>
        </w:rPr>
        <w:t xml:space="preserve">мережевого обладнання DELL S5248 (2 шт.), DELL S3148 (1 шт.)</w:t>
      </w:r>
      <w:r/>
    </w:p>
    <w:tbl>
      <w:tblP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8817"/>
      </w:tblGrid>
      <w:tr>
        <w:trPr>
          <w:tblHeader/>
        </w:trPr>
        <w:tc>
          <w:tcPr>
            <w:shd w:val="clear" w:color="auto" w:fill="d9d9d9" w:themeFill="background1" w:themeFillShade="D9"/>
            <w:tcW w:w="993" w:type="dxa"/>
            <w:vAlign w:val="center"/>
            <w:textDirection w:val="lrTb"/>
            <w:noWrap w:val="false"/>
          </w:tcPr>
          <w:p>
            <w:pPr>
              <w:jc w:val="center"/>
              <w:spacing w:after="0" w:line="240" w:lineRule="auto"/>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п/п</w:t>
            </w:r>
            <w:r/>
          </w:p>
        </w:tc>
        <w:tc>
          <w:tcPr>
            <w:shd w:val="clear" w:color="auto" w:fill="d9d9d9" w:themeFill="background1" w:themeFillShade="D9"/>
            <w:tcW w:w="8817" w:type="dxa"/>
            <w:vAlign w:val="center"/>
            <w:textDirection w:val="lrTb"/>
            <w:noWrap w:val="false"/>
          </w:tcPr>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p>
        </w:tc>
      </w:tr>
      <w:tr>
        <w:trPr/>
        <w:tc>
          <w:tcPr>
            <w:shd w:val="clear" w:color="auto" w:fill="auto"/>
            <w:tcW w:w="993" w:type="dxa"/>
            <w:textDirection w:val="lrTb"/>
            <w:noWrap w:val="false"/>
          </w:tcPr>
          <w:p>
            <w:pPr>
              <w:numPr>
                <w:ilvl w:val="0"/>
                <w:numId w:val="4"/>
              </w:numPr>
              <w:ind w:left="0" w:firstLine="318"/>
              <w:jc w:val="center"/>
              <w:spacing w:after="0" w:line="240" w:lineRule="auto"/>
              <w:widowControl w:val="off"/>
              <w:tabs>
                <w:tab w:val="num" w:pos="318" w:leader="none"/>
                <w:tab w:val="clear" w:pos="720" w:leader="none"/>
              </w:tabs>
              <w:rPr>
                <w:rFonts w:ascii="Times New Roman" w:hAnsi="Times New Roman" w:cs="Times New Roman"/>
                <w:sz w:val="24"/>
                <w:szCs w:val="24"/>
                <w:lang w:eastAsia="ar-SA"/>
              </w:rPr>
            </w:pPr>
            <w:r>
              <w:rPr>
                <w:rFonts w:ascii="Times New Roman" w:hAnsi="Times New Roman" w:cs="Times New Roman"/>
                <w:sz w:val="24"/>
                <w:szCs w:val="24"/>
                <w:lang w:eastAsia="ar-SA"/>
              </w:rPr>
            </w:r>
            <w:r/>
          </w:p>
        </w:tc>
        <w:tc>
          <w:tcPr>
            <w:shd w:val="clear" w:color="auto" w:fill="auto"/>
            <w:tcW w:w="8817" w:type="dxa"/>
            <w:textDirection w:val="lrTb"/>
            <w:noWrap w:val="false"/>
          </w:tcPr>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В рамках надання технічної підтримки Виконавець має здійснювати:</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Адміністрування функціонування:</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(модифікація) параметрів функціонування мережевого обладнання DELL S5248, DELL S3148, (далі – компоненти);</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функціонування мережевого обладнання в режимах DE</w:t>
            </w:r>
            <w:r>
              <w:rPr>
                <w:rFonts w:ascii="Times New Roman" w:hAnsi="Times New Roman" w:cs="Times New Roman"/>
                <w:bCs/>
                <w:sz w:val="24"/>
                <w:szCs w:val="24"/>
                <w:lang w:val="en-US" w:eastAsia="ar-SA"/>
              </w:rPr>
              <w:t xml:space="preserve">L</w:t>
            </w:r>
            <w:r>
              <w:rPr>
                <w:rFonts w:ascii="Times New Roman" w:hAnsi="Times New Roman" w:cs="Times New Roman"/>
                <w:bCs/>
                <w:sz w:val="24"/>
                <w:szCs w:val="24"/>
                <w:lang w:val="uk-UA" w:eastAsia="ar-SA"/>
              </w:rPr>
              <w:t xml:space="preserve">L VLT;</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мережевих параметрів компонентів;</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маршрутизації (статичної та динамічної з використанням протоколу OSPF);</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w:t>
            </w:r>
            <w:r>
              <w:rPr>
                <w:rFonts w:ascii="Times New Roman" w:hAnsi="Times New Roman" w:cs="Times New Roman"/>
                <w:bCs/>
                <w:sz w:val="24"/>
                <w:szCs w:val="24"/>
                <w:lang w:val="uk-UA" w:eastAsia="ar-SA"/>
              </w:rPr>
              <w:t xml:space="preserve">зв’язків</w:t>
            </w:r>
            <w:r>
              <w:rPr>
                <w:rFonts w:ascii="Times New Roman" w:hAnsi="Times New Roman" w:cs="Times New Roman"/>
                <w:bCs/>
                <w:sz w:val="24"/>
                <w:szCs w:val="24"/>
                <w:lang w:val="uk-UA" w:eastAsia="ar-SA"/>
              </w:rPr>
              <w:t xml:space="preserve"> між обладнанням;</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технологій FHRP (</w:t>
            </w:r>
            <w:r>
              <w:rPr>
                <w:rFonts w:ascii="Times New Roman" w:hAnsi="Times New Roman" w:cs="Times New Roman"/>
                <w:bCs/>
                <w:sz w:val="24"/>
                <w:szCs w:val="24"/>
                <w:lang w:val="uk-UA" w:eastAsia="ar-SA"/>
              </w:rPr>
              <w:t xml:space="preserve">First</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Hop</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Redundancy</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Protocol</w:t>
            </w:r>
            <w:r>
              <w:rPr>
                <w:rFonts w:ascii="Times New Roman" w:hAnsi="Times New Roman" w:cs="Times New Roman"/>
                <w:bCs/>
                <w:sz w:val="24"/>
                <w:szCs w:val="24"/>
                <w:lang w:val="uk-UA" w:eastAsia="ar-SA"/>
              </w:rPr>
              <w:t xml:space="preserve">), зокрема VRRP</w:t>
            </w:r>
            <w:r>
              <w:rPr>
                <w:rFonts w:ascii="Times New Roman" w:hAnsi="Times New Roman" w:cs="Times New Roman"/>
                <w:bCs/>
                <w:strike/>
                <w:sz w:val="24"/>
                <w:szCs w:val="24"/>
                <w:lang w:val="uk-UA" w:eastAsia="ar-SA"/>
              </w:rPr>
              <w:t xml:space="preserve">;</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віртуальних таблиць маршрутизації VRF;</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протоколів SNMP, NTP, </w:t>
            </w:r>
            <w:r>
              <w:rPr>
                <w:rFonts w:ascii="Times New Roman" w:hAnsi="Times New Roman" w:cs="Times New Roman"/>
                <w:bCs/>
                <w:sz w:val="24"/>
                <w:szCs w:val="24"/>
                <w:lang w:val="uk-UA" w:eastAsia="ar-SA"/>
              </w:rPr>
              <w:t xml:space="preserve">NetFlow</w:t>
            </w:r>
            <w:r>
              <w:rPr>
                <w:rFonts w:ascii="Times New Roman" w:hAnsi="Times New Roman" w:cs="Times New Roman"/>
                <w:bCs/>
                <w:sz w:val="24"/>
                <w:szCs w:val="24"/>
                <w:lang w:val="uk-UA" w:eastAsia="ar-SA"/>
              </w:rPr>
              <w:t xml:space="preserve">, CDP/LLDP;</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 та/або </w:t>
            </w:r>
            <w:r>
              <w:rPr>
                <w:rFonts w:ascii="Times New Roman" w:hAnsi="Times New Roman" w:cs="Times New Roman"/>
                <w:bCs/>
                <w:sz w:val="24"/>
                <w:szCs w:val="24"/>
                <w:lang w:val="uk-UA" w:eastAsia="ar-SA"/>
              </w:rPr>
              <w:t xml:space="preserve">мікрокодів</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firmware</w:t>
            </w:r>
            <w:r>
              <w:rPr>
                <w:rFonts w:ascii="Times New Roman" w:hAnsi="Times New Roman" w:cs="Times New Roman"/>
                <w:bCs/>
                <w:sz w:val="24"/>
                <w:szCs w:val="24"/>
                <w:lang w:val="uk-UA" w:eastAsia="ar-SA"/>
              </w:rPr>
              <w:t xml:space="preserve">) апаратного забезпечення, відповідно до рекомендацій виробника;</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Модифікація налаштувань для виконання рекомендацій виробників та кращих практик експлуатації рішень.</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w:t>
            </w:r>
            <w:r/>
          </w:p>
          <w:p>
            <w:pPr>
              <w:pStyle w:val="673"/>
              <w:numPr>
                <w:ilvl w:val="1"/>
                <w:numId w:val="9"/>
              </w:numPr>
              <w:jc w:val="both"/>
              <w:spacing w:after="0" w:line="240" w:lineRule="auto"/>
              <w:rPr>
                <w:rFonts w:ascii="Times New Roman" w:hAnsi="Times New Roman" w:cs="Times New Roman"/>
                <w:bCs/>
                <w:strike/>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апаратних компонентів DELL S5248, DELL S3148;</w:t>
            </w:r>
            <w:r/>
          </w:p>
          <w:p>
            <w:pPr>
              <w:pStyle w:val="673"/>
              <w:numPr>
                <w:ilvl w:val="1"/>
                <w:numId w:val="9"/>
              </w:numPr>
              <w:jc w:val="both"/>
              <w:spacing w:after="0" w:line="240" w:lineRule="auto"/>
              <w:rPr>
                <w:rFonts w:ascii="Times New Roman" w:hAnsi="Times New Roman" w:cs="Times New Roman"/>
                <w:bCs/>
                <w:strike/>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функціонування операційних систем DELL S5248, DELL S3148;</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ресурсів мережевого обладнання (завантаження процесора, використання оперативної пам’яті, завантаження мережевих інтерфейсів);</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помилок на мережевих інтерфейсах. Вживання засобів усунення проблем функціонування.</w:t>
            </w:r>
            <w:r/>
          </w:p>
          <w:p>
            <w:pPr>
              <w:pStyle w:val="673"/>
              <w:numPr>
                <w:ilvl w:val="1"/>
                <w:numId w:val="9"/>
              </w:numPr>
              <w:jc w:val="both"/>
              <w:spacing w:after="0" w:line="240" w:lineRule="auto"/>
              <w:rPr>
                <w:rFonts w:ascii="Times New Roman" w:hAnsi="Times New Roman" w:cs="Times New Roman"/>
                <w:bCs/>
                <w:strike/>
                <w:sz w:val="24"/>
                <w:szCs w:val="24"/>
                <w:lang w:val="uk-UA" w:eastAsia="ar-SA"/>
              </w:rPr>
            </w:pPr>
            <w:r>
              <w:rPr>
                <w:rFonts w:ascii="Times New Roman" w:hAnsi="Times New Roman" w:cs="Times New Roman"/>
                <w:bCs/>
                <w:sz w:val="24"/>
                <w:szCs w:val="24"/>
                <w:lang w:val="uk-UA" w:eastAsia="ar-SA"/>
              </w:rPr>
              <w:t xml:space="preserve">Виявлення та усунення помилок функціонування мережевого обладнання DELL S5248, DELL S3148</w:t>
            </w:r>
            <w:r>
              <w:rPr>
                <w:rFonts w:ascii="Times New Roman" w:hAnsi="Times New Roman" w:cs="Times New Roman"/>
                <w:bCs/>
                <w:strike/>
                <w:sz w:val="24"/>
                <w:szCs w:val="24"/>
                <w:lang w:val="uk-UA" w:eastAsia="ar-SA"/>
              </w:rPr>
              <w:t xml:space="preserve">.</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Супровід робіт з заміни несправних елементів:</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У разі виходу з ладу апаратних компонентів DELL S5248, DELL S3148, , здійснювати отримання замінних компонентів у виробника;</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Здійснення заміни несправних компонентів на місці розташування обладнання. Підмінні компоненти мають надаватися виробником.</w:t>
            </w:r>
            <w:r/>
          </w:p>
          <w:p>
            <w:pPr>
              <w:pStyle w:val="673"/>
              <w:ind w:left="1440"/>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r>
            <w:r/>
          </w:p>
          <w:p>
            <w:pPr>
              <w:pStyle w:val="673"/>
              <w:numPr>
                <w:ilvl w:val="0"/>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Зокрема, але не обмежуючись:</w:t>
            </w:r>
            <w:r/>
          </w:p>
          <w:p>
            <w:pPr>
              <w:pStyle w:val="673"/>
              <w:numPr>
                <w:ilvl w:val="2"/>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рішення комутації та маршрутизації;</w:t>
            </w:r>
            <w:r/>
          </w:p>
          <w:p>
            <w:pPr>
              <w:pStyle w:val="673"/>
              <w:numPr>
                <w:ilvl w:val="2"/>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налаштувань;</w:t>
            </w:r>
            <w:r/>
          </w:p>
          <w:p>
            <w:pPr>
              <w:pStyle w:val="673"/>
              <w:numPr>
                <w:ilvl w:val="2"/>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підключень до інших інформаційно-комунікаційних систем;</w:t>
            </w:r>
            <w:r/>
          </w:p>
          <w:p>
            <w:pPr>
              <w:pStyle w:val="673"/>
              <w:numPr>
                <w:ilvl w:val="2"/>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Інструкція системного адміністратора щодо експлуатації рішення.</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 виконаних дій;</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прийнятих рішень.</w:t>
            </w:r>
            <w:r/>
          </w:p>
          <w:p>
            <w:pPr>
              <w:pStyle w:val="673"/>
              <w:numPr>
                <w:ilvl w:val="1"/>
                <w:numId w:val="9"/>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навчання представників Замовника в частині експлуатації рішення.</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tabs>
          <w:tab w:val="left" w:pos="5828" w:leader="none"/>
        </w:tabs>
        <w:rPr>
          <w:rFonts w:ascii="Times New Roman" w:hAnsi="Times New Roman" w:cs="Times New Roman"/>
          <w:b/>
          <w:sz w:val="24"/>
          <w:szCs w:val="24"/>
        </w:rPr>
      </w:pPr>
      <w:r>
        <w:rPr>
          <w:rFonts w:ascii="Times New Roman" w:hAnsi="Times New Roman" w:cs="Times New Roman"/>
          <w:b/>
          <w:sz w:val="24"/>
          <w:szCs w:val="24"/>
        </w:rPr>
        <w:t xml:space="preserve">Детальний опис складової технічної підтримки в частині </w:t>
      </w:r>
      <w:r>
        <w:rPr>
          <w:rFonts w:ascii="Times New Roman" w:hAnsi="Times New Roman" w:cs="Times New Roman"/>
          <w:b/>
          <w:bCs/>
          <w:sz w:val="24"/>
          <w:szCs w:val="24"/>
        </w:rPr>
        <w:t xml:space="preserve">інфраструктурних сервісів у складі </w:t>
      </w:r>
      <w:r>
        <w:rPr>
          <w:rFonts w:ascii="Times New Roman" w:hAnsi="Times New Roman" w:cs="Times New Roman"/>
          <w:b/>
          <w:sz w:val="24"/>
          <w:szCs w:val="24"/>
        </w:rPr>
        <w:t xml:space="preserve">ІКС 112:</w:t>
      </w:r>
      <w:r/>
    </w:p>
    <w:tbl>
      <w:tblP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3"/>
        <w:gridCol w:w="8817"/>
      </w:tblGrid>
      <w:tr>
        <w:trPr>
          <w:tblHeader/>
        </w:trPr>
        <w:tc>
          <w:tcPr>
            <w:shd w:val="clear" w:color="auto" w:fill="d9d9d9" w:themeFill="background1" w:themeFillShade="D9"/>
            <w:tcW w:w="993" w:type="dxa"/>
            <w:vAlign w:val="center"/>
            <w:textDirection w:val="lrTb"/>
            <w:noWrap w:val="false"/>
          </w:tcPr>
          <w:p>
            <w:pPr>
              <w:jc w:val="center"/>
              <w:spacing w:after="0" w:line="240" w:lineRule="auto"/>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 п/п</w:t>
            </w:r>
            <w:r/>
          </w:p>
        </w:tc>
        <w:tc>
          <w:tcPr>
            <w:shd w:val="clear" w:color="auto" w:fill="d9d9d9" w:themeFill="background1" w:themeFillShade="D9"/>
            <w:tcW w:w="8817" w:type="dxa"/>
            <w:vAlign w:val="center"/>
            <w:textDirection w:val="lrTb"/>
            <w:noWrap w:val="false"/>
          </w:tcPr>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w:t>
            </w:r>
            <w:r/>
          </w:p>
        </w:tc>
      </w:tr>
      <w:tr>
        <w:trPr/>
        <w:tc>
          <w:tcPr>
            <w:shd w:val="clear" w:color="auto" w:fill="auto"/>
            <w:tcW w:w="993" w:type="dxa"/>
            <w:textDirection w:val="lrTb"/>
            <w:noWrap w:val="false"/>
          </w:tcPr>
          <w:p>
            <w:pPr>
              <w:numPr>
                <w:ilvl w:val="0"/>
                <w:numId w:val="4"/>
              </w:numPr>
              <w:ind w:left="0" w:firstLine="318"/>
              <w:jc w:val="center"/>
              <w:spacing w:after="0" w:line="240" w:lineRule="auto"/>
              <w:widowControl w:val="off"/>
              <w:tabs>
                <w:tab w:val="num" w:pos="318" w:leader="none"/>
                <w:tab w:val="clear" w:pos="720" w:leader="none"/>
              </w:tabs>
              <w:rPr>
                <w:rFonts w:ascii="Times New Roman" w:hAnsi="Times New Roman" w:cs="Times New Roman"/>
                <w:sz w:val="24"/>
                <w:szCs w:val="24"/>
                <w:lang w:eastAsia="ar-SA"/>
              </w:rPr>
            </w:pPr>
            <w:r>
              <w:rPr>
                <w:rFonts w:ascii="Times New Roman" w:hAnsi="Times New Roman" w:cs="Times New Roman"/>
                <w:sz w:val="24"/>
                <w:szCs w:val="24"/>
                <w:lang w:eastAsia="ar-SA"/>
              </w:rPr>
            </w:r>
            <w:r/>
          </w:p>
        </w:tc>
        <w:tc>
          <w:tcPr>
            <w:shd w:val="clear" w:color="auto" w:fill="auto"/>
            <w:tcW w:w="8817" w:type="dxa"/>
            <w:textDirection w:val="lrTb"/>
            <w:noWrap w:val="false"/>
          </w:tcPr>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В рамках надання технічної підтримки Виконавець має здійснювати:</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Розгортання, налаштування та адміністрування сервісів, що забезпечують функціонування інфраструктури замовника (не обмежуючись):</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Сервіс DHCP</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Планування адресного простору (VLAN/блоки адрес);</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Налаштування сервісів DHCP для користувачів.</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Сервіс DNS</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Планування та розгортання інфраструктури DNS у </w:t>
            </w:r>
            <w:r>
              <w:rPr>
                <w:rFonts w:ascii="Times New Roman" w:hAnsi="Times New Roman" w:cs="Times New Roman"/>
                <w:bCs/>
                <w:sz w:val="24"/>
                <w:szCs w:val="24"/>
                <w:lang w:val="uk-UA" w:eastAsia="ar-SA"/>
              </w:rPr>
              <w:t xml:space="preserve">відмовостійкому</w:t>
            </w:r>
            <w:r>
              <w:rPr>
                <w:rFonts w:ascii="Times New Roman" w:hAnsi="Times New Roman" w:cs="Times New Roman"/>
                <w:bCs/>
                <w:sz w:val="24"/>
                <w:szCs w:val="24"/>
                <w:lang w:val="uk-UA" w:eastAsia="ar-SA"/>
              </w:rPr>
              <w:t xml:space="preserve"> режимі;</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доменних зон для забезпечення функціонування сервісів і компонентів;</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Створення та модифікація записів доменних зон;</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Сервіс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Планування та розгортання інфраструктури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Планування простору імен (</w:t>
            </w:r>
            <w:r>
              <w:rPr>
                <w:rFonts w:ascii="Times New Roman" w:hAnsi="Times New Roman" w:cs="Times New Roman"/>
                <w:bCs/>
                <w:sz w:val="24"/>
                <w:szCs w:val="24"/>
                <w:lang w:val="uk-UA" w:eastAsia="ar-SA"/>
              </w:rPr>
              <w:t xml:space="preserve">Namespace</w:t>
            </w:r>
            <w:r>
              <w:rPr>
                <w:rFonts w:ascii="Times New Roman" w:hAnsi="Times New Roman" w:cs="Times New Roman"/>
                <w:bCs/>
                <w:sz w:val="24"/>
                <w:szCs w:val="24"/>
                <w:lang w:val="uk-UA" w:eastAsia="ar-SA"/>
              </w:rPr>
              <w:t xml:space="preserve"> DNS).</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дизайну використання та впровадження простору імен (</w:t>
            </w:r>
            <w:r>
              <w:rPr>
                <w:rFonts w:ascii="Times New Roman" w:hAnsi="Times New Roman" w:cs="Times New Roman"/>
                <w:bCs/>
                <w:sz w:val="24"/>
                <w:szCs w:val="24"/>
                <w:lang w:val="uk-UA" w:eastAsia="ar-SA"/>
              </w:rPr>
              <w:t xml:space="preserve">Namespace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Design</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логічної структури інфраструктури Microsoft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 лісів (</w:t>
            </w:r>
            <w:r>
              <w:rPr>
                <w:rFonts w:ascii="Times New Roman" w:hAnsi="Times New Roman" w:cs="Times New Roman"/>
                <w:bCs/>
                <w:sz w:val="24"/>
                <w:szCs w:val="24"/>
                <w:lang w:val="uk-UA" w:eastAsia="ar-SA"/>
              </w:rPr>
              <w:t xml:space="preserve">Forest</w:t>
            </w:r>
            <w:r>
              <w:rPr>
                <w:rFonts w:ascii="Times New Roman" w:hAnsi="Times New Roman" w:cs="Times New Roman"/>
                <w:bCs/>
                <w:sz w:val="24"/>
                <w:szCs w:val="24"/>
                <w:lang w:val="uk-UA" w:eastAsia="ar-SA"/>
              </w:rPr>
              <w:t xml:space="preserve">) та доменних дерев (</w:t>
            </w:r>
            <w:r>
              <w:rPr>
                <w:rFonts w:ascii="Times New Roman" w:hAnsi="Times New Roman" w:cs="Times New Roman"/>
                <w:bCs/>
                <w:sz w:val="24"/>
                <w:szCs w:val="24"/>
                <w:lang w:val="uk-UA" w:eastAsia="ar-SA"/>
              </w:rPr>
              <w:t xml:space="preserve">Tree</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підходів до масштабування контролерів домену. </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w:t>
            </w:r>
            <w:r>
              <w:rPr>
                <w:rFonts w:ascii="Times New Roman" w:hAnsi="Times New Roman" w:cs="Times New Roman"/>
                <w:bCs/>
                <w:sz w:val="24"/>
                <w:szCs w:val="24"/>
                <w:lang w:val="uk-UA" w:eastAsia="ar-SA"/>
              </w:rPr>
              <w:t xml:space="preserve">відмовостійкого</w:t>
            </w:r>
            <w:r>
              <w:rPr>
                <w:rFonts w:ascii="Times New Roman" w:hAnsi="Times New Roman" w:cs="Times New Roman"/>
                <w:bCs/>
                <w:sz w:val="24"/>
                <w:szCs w:val="24"/>
                <w:lang w:val="uk-UA" w:eastAsia="ar-SA"/>
              </w:rPr>
              <w:t xml:space="preserve"> дизайну.</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підходів до іменування об’єктів домену.</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дизайну доменних імен (DNS).</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взаємодії доменних імен зі сторонніми доменними серверами, делегування доменних імен.</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структури організаційних одиниць (</w:t>
            </w:r>
            <w:r>
              <w:rPr>
                <w:rFonts w:ascii="Times New Roman" w:hAnsi="Times New Roman" w:cs="Times New Roman"/>
                <w:bCs/>
                <w:sz w:val="24"/>
                <w:szCs w:val="24"/>
                <w:lang w:val="uk-UA" w:eastAsia="ar-SA"/>
              </w:rPr>
              <w:t xml:space="preserve">Organization</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Units</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структури користувачів, груп та ролей.</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впровадження підходів до забезпечення безпеки контролерів домену та інфраструктури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 відповідно вимогам політик інформаційної безпеки підприємства.</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структури та впровадження групових політик.</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структури центрів сертифікації. </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Підключення автоматизованих робочих місць та серверів до корпоративного домену </w:t>
            </w:r>
            <w:r>
              <w:rPr>
                <w:rFonts w:ascii="Times New Roman" w:hAnsi="Times New Roman" w:cs="Times New Roman"/>
                <w:bCs/>
                <w:sz w:val="24"/>
                <w:szCs w:val="24"/>
                <w:lang w:val="uk-UA" w:eastAsia="ar-SA"/>
              </w:rPr>
              <w:t xml:space="preserve">Active</w:t>
            </w:r>
            <w:r>
              <w:rPr>
                <w:rFonts w:ascii="Times New Roman" w:hAnsi="Times New Roman" w:cs="Times New Roman"/>
                <w:bCs/>
                <w:sz w:val="24"/>
                <w:szCs w:val="24"/>
                <w:lang w:val="uk-UA" w:eastAsia="ar-SA"/>
              </w:rPr>
              <w:t xml:space="preserve"> </w:t>
            </w:r>
            <w:r>
              <w:rPr>
                <w:rFonts w:ascii="Times New Roman" w:hAnsi="Times New Roman" w:cs="Times New Roman"/>
                <w:bCs/>
                <w:sz w:val="24"/>
                <w:szCs w:val="24"/>
                <w:lang w:val="uk-UA" w:eastAsia="ar-SA"/>
              </w:rPr>
              <w:t xml:space="preserve">Directory</w:t>
            </w:r>
            <w:r>
              <w:rPr>
                <w:rFonts w:ascii="Times New Roman" w:hAnsi="Times New Roman" w:cs="Times New Roman"/>
                <w:bCs/>
                <w:sz w:val="24"/>
                <w:szCs w:val="24"/>
                <w:lang w:val="uk-UA" w:eastAsia="ar-SA"/>
              </w:rPr>
              <w:t xml:space="preserve">.</w:t>
            </w:r>
            <w:r/>
          </w:p>
          <w:p>
            <w:pPr>
              <w:pStyle w:val="673"/>
              <w:numPr>
                <w:ilvl w:val="2"/>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оновлення програмного забезпечення.</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Моніторинг функціонування інфраструктурних сервісів:</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Отримання та обробка відомостей щодо коректності функціонування інфраструктурних сервісів;</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Виявлення та усунення помилок функціонування інфраструктурних сервісів.</w:t>
            </w:r>
            <w:r/>
          </w:p>
          <w:p>
            <w:pPr>
              <w:jc w:val="both"/>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r>
            <w:r/>
          </w:p>
          <w:p>
            <w:pPr>
              <w:pStyle w:val="673"/>
              <w:numPr>
                <w:ilvl w:val="0"/>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Розробка та підтримка в актуальному стані експлуатаційної документації (таблиці, схеми, топології, інструкції, настанови, тощо). </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Документування виконаних дій;</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Опис прийнятих рішень.</w:t>
            </w:r>
            <w:r/>
          </w:p>
          <w:p>
            <w:pPr>
              <w:pStyle w:val="673"/>
              <w:numPr>
                <w:ilvl w:val="1"/>
                <w:numId w:val="10"/>
              </w:numPr>
              <w:jc w:val="both"/>
              <w:spacing w:after="0" w:line="240" w:lineRule="auto"/>
              <w:rPr>
                <w:rFonts w:ascii="Times New Roman" w:hAnsi="Times New Roman" w:cs="Times New Roman"/>
                <w:bCs/>
                <w:sz w:val="24"/>
                <w:szCs w:val="24"/>
                <w:lang w:val="uk-UA" w:eastAsia="ar-SA"/>
              </w:rPr>
            </w:pPr>
            <w:r>
              <w:rPr>
                <w:rFonts w:ascii="Times New Roman" w:hAnsi="Times New Roman" w:cs="Times New Roman"/>
                <w:bCs/>
                <w:sz w:val="24"/>
                <w:szCs w:val="24"/>
                <w:lang w:val="uk-UA" w:eastAsia="ar-SA"/>
              </w:rPr>
              <w:t xml:space="preserve">Проведення навчання представників Замовника в частині експлуатації рішення.</w:t>
            </w:r>
            <w:r/>
          </w:p>
        </w:tc>
      </w:tr>
    </w:tbl>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якості надання Послуг (SLA) та Регламент взаємодії при наданні Послуги з технічної підтримки та обслуговування ІКС 112.</w:t>
      </w:r>
      <w:r/>
    </w:p>
    <w:p>
      <w:pPr>
        <w:numPr>
          <w:ilvl w:val="1"/>
          <w:numId w:val="0"/>
        </w:numPr>
        <w:ind w:left="540" w:hanging="540"/>
        <w:jc w:val="both"/>
        <w:spacing w:before="120" w:after="0" w:line="240" w:lineRule="auto"/>
        <w:tabs>
          <w:tab w:val="num" w:pos="27" w:leader="none"/>
          <w:tab w:val="num" w:pos="540" w:leader="none"/>
        </w:tabs>
        <w:rPr>
          <w:rFonts w:ascii="Times New Roman" w:hAnsi="Times New Roman" w:cs="Times New Roman"/>
          <w:b/>
          <w:sz w:val="24"/>
          <w:szCs w:val="24"/>
        </w:rPr>
      </w:pPr>
      <w:r>
        <w:rPr>
          <w:rFonts w:ascii="Times New Roman" w:hAnsi="Times New Roman" w:cs="Times New Roman"/>
          <w:b/>
          <w:sz w:val="24"/>
          <w:szCs w:val="24"/>
        </w:rPr>
        <w:t xml:space="preserve">Прийом, реєстрація та контроль звернень Замовника</w:t>
      </w:r>
      <w:r/>
    </w:p>
    <w:p>
      <w:pPr>
        <w:jc w:val="both"/>
        <w:spacing w:after="0"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Послуги надаються на основі прийнятих звернень Замовника.</w:t>
      </w:r>
      <w:r/>
    </w:p>
    <w:p>
      <w:pPr>
        <w:jc w:val="both"/>
        <w:spacing w:after="0" w:line="240" w:lineRule="auto"/>
        <w:tabs>
          <w:tab w:val="left" w:pos="900" w:leader="none"/>
        </w:tabs>
        <w:rPr>
          <w:rFonts w:ascii="Times New Roman" w:hAnsi="Times New Roman" w:cs="Times New Roman"/>
          <w:sz w:val="24"/>
          <w:szCs w:val="24"/>
        </w:rPr>
      </w:pPr>
      <w:r>
        <w:rPr>
          <w:rFonts w:ascii="Times New Roman" w:hAnsi="Times New Roman" w:cs="Times New Roman"/>
          <w:sz w:val="24"/>
          <w:szCs w:val="24"/>
        </w:rPr>
        <w:tab/>
        <w:t xml:space="preserve">Звернення приймаються Виконавцем від уповноважених осіб Замовника одним з наступних способів:</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по електронній пошті на адресу Виконавця;</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по телефону відповідальних інженерів Виконавця (у разі недоступності інших засобів).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отримання відповідного Звернення від Замовника, Виконавець повинен присвоїти такому зверненню відповідний номер, повідомивши про це негайно Замовника.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Замовник при поданні звернення в неробочий час (час поза межами інтервалу 9:00-18:00 по робочих днях) повинен продублювати його телефоном. В іншому випадку звернення може бути прийнятим тільки в 9:00 наступного робочого дня.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поданні звернення уповноважений представник Замовника повинен повідомити наступні дані: </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номер Договору, згідно якого подається звернення та адресу експлуатації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контактні дані представника Замовника, з яким повинен контактувати інженер Виконавця при вирішенні питання за зверненням;</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пріоритет звернення (згідно з визначенням пріоритетів);</w:t>
      </w:r>
      <w:r/>
    </w:p>
    <w:p>
      <w:pPr>
        <w:numPr>
          <w:ilvl w:val="2"/>
          <w:numId w:val="3"/>
        </w:numPr>
        <w:ind w:left="993" w:hanging="284"/>
        <w:jc w:val="both"/>
        <w:spacing w:after="0" w:line="240" w:lineRule="auto"/>
        <w:tabs>
          <w:tab w:val="left" w:pos="993" w:leader="none"/>
          <w:tab w:val="clear" w:pos="2160" w:leader="none"/>
        </w:tabs>
        <w:rPr>
          <w:rFonts w:ascii="Times New Roman" w:hAnsi="Times New Roman" w:cs="Times New Roman"/>
          <w:sz w:val="24"/>
          <w:szCs w:val="24"/>
        </w:rPr>
      </w:pPr>
      <w:r>
        <w:rPr>
          <w:rFonts w:ascii="Times New Roman" w:hAnsi="Times New Roman" w:cs="Times New Roman"/>
          <w:sz w:val="24"/>
          <w:szCs w:val="24"/>
        </w:rPr>
        <w:t xml:space="preserve">детальний опис проблеми або діагностичну інформацію.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 усуненн</w:t>
      </w:r>
      <w:r>
        <w:rPr>
          <w:rFonts w:ascii="Times New Roman" w:hAnsi="Times New Roman" w:cs="Times New Roman"/>
          <w:sz w:val="24"/>
          <w:szCs w:val="24"/>
        </w:rPr>
        <w:t xml:space="preserve">я проблеми або виконання всіх умов за зверненням, Виконавець інформує Замовника для отримання підтвердження вирішення питання. У випадку, якщо Замовник протягом 5 (п’яти) робочих днів не надіслав відповідь-підтвердження, звернення закривається автоматично.</w:t>
      </w:r>
      <w:r/>
    </w:p>
    <w:p>
      <w:pPr>
        <w:spacing w:before="240"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Пріоритети Звернень</w:t>
      </w:r>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7"/>
        <w:gridCol w:w="7470"/>
      </w:tblGrid>
      <w:tr>
        <w:trPr>
          <w:jc w:val="center"/>
          <w:tblHeader/>
        </w:trPr>
        <w:tc>
          <w:tcPr>
            <w:shd w:val="clear" w:color="auto" w:fill="d9d9d9" w:themeFill="background1" w:themeFillShade="D9"/>
            <w:tcW w:w="2157"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Пріоритет</w:t>
            </w:r>
            <w:r/>
          </w:p>
        </w:tc>
        <w:tc>
          <w:tcPr>
            <w:shd w:val="clear" w:color="auto" w:fill="d9d9d9" w:themeFill="background1" w:themeFillShade="D9"/>
            <w:tcW w:w="7470"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Опис</w:t>
            </w:r>
            <w:r/>
          </w:p>
        </w:tc>
      </w:tr>
      <w:tr>
        <w:trPr>
          <w:jc w:val="center"/>
        </w:trPr>
        <w:tc>
          <w:tcPr>
            <w:shd w:val="clear" w:color="auto" w:fill="auto"/>
            <w:tcW w:w="2157"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Пріоритет 1</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Критичний</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W w:w="747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Повністю непрацездатні складові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обчислювального кластеру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критичної важливості. А саме:</w:t>
            </w:r>
            <w:r/>
          </w:p>
          <w:p>
            <w:pPr>
              <w:numPr>
                <w:ilvl w:val="0"/>
                <w:numId w:val="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Гіперконвергентний</w:t>
            </w:r>
            <w:r>
              <w:rPr>
                <w:rFonts w:ascii="Times New Roman" w:hAnsi="Times New Roman" w:cs="Times New Roman"/>
                <w:sz w:val="24"/>
                <w:szCs w:val="24"/>
              </w:rPr>
              <w:t xml:space="preserve"> обчислювальний кластер DELL </w:t>
            </w:r>
            <w:r>
              <w:rPr>
                <w:rFonts w:ascii="Times New Roman" w:hAnsi="Times New Roman" w:cs="Times New Roman"/>
                <w:sz w:val="24"/>
                <w:szCs w:val="24"/>
              </w:rPr>
              <w:t xml:space="preserve">VxRail</w:t>
            </w:r>
            <w:r>
              <w:rPr>
                <w:rFonts w:ascii="Times New Roman" w:hAnsi="Times New Roman" w:cs="Times New Roman"/>
                <w:sz w:val="24"/>
                <w:szCs w:val="24"/>
              </w:rPr>
              <w:t xml:space="preserve"> </w:t>
            </w:r>
            <w:r/>
          </w:p>
          <w:p>
            <w:pPr>
              <w:numPr>
                <w:ilvl w:val="0"/>
                <w:numId w:val="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СЗД DELL </w:t>
            </w:r>
            <w:r>
              <w:rPr>
                <w:rFonts w:ascii="Times New Roman" w:hAnsi="Times New Roman" w:cs="Times New Roman"/>
                <w:sz w:val="24"/>
                <w:szCs w:val="24"/>
              </w:rPr>
              <w:t xml:space="preserve">PowerScale</w:t>
            </w:r>
            <w:r/>
          </w:p>
          <w:p>
            <w:pPr>
              <w:numPr>
                <w:ilvl w:val="0"/>
                <w:numId w:val="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СРК DELL IDPA 4400</w:t>
            </w:r>
            <w:r/>
          </w:p>
          <w:p>
            <w:pPr>
              <w:numPr>
                <w:ilvl w:val="0"/>
                <w:numId w:val="2"/>
              </w:numPr>
              <w:contextualSpacing/>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Мережеве обладнання, DELL S5248, DELL S3148.</w:t>
            </w:r>
            <w:r/>
          </w:p>
        </w:tc>
      </w:tr>
      <w:tr>
        <w:trPr>
          <w:jc w:val="center"/>
          <w:trHeight w:val="580"/>
        </w:trPr>
        <w:tc>
          <w:tcPr>
            <w:shd w:val="clear" w:color="auto" w:fill="auto"/>
            <w:tcW w:w="2157" w:type="dxa"/>
            <w:textDirection w:val="lrTb"/>
            <w:noWrap w:val="false"/>
          </w:tcPr>
          <w:p>
            <w:pPr>
              <w:jc w:val="both"/>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Пріоритет 5</w:t>
            </w:r>
            <w:r/>
          </w:p>
          <w:p>
            <w:pPr>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Низький </w:t>
            </w:r>
            <w:r/>
          </w:p>
        </w:tc>
        <w:tc>
          <w:tcPr>
            <w:shd w:val="clear" w:color="auto" w:fill="auto"/>
            <w:tcW w:w="7470"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Звернення щодо консультацій стосовно функції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обчислювального кластеру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а також звернення на надання послуг з розвитку окремих функцій </w:t>
            </w:r>
            <w:r>
              <w:rPr>
                <w:rFonts w:ascii="Times New Roman" w:hAnsi="Times New Roman" w:cs="Times New Roman"/>
                <w:sz w:val="24"/>
                <w:szCs w:val="24"/>
              </w:rPr>
              <w:t xml:space="preserve">гіперконвергентного</w:t>
            </w:r>
            <w:r>
              <w:rPr>
                <w:rFonts w:ascii="Times New Roman" w:hAnsi="Times New Roman" w:cs="Times New Roman"/>
                <w:sz w:val="24"/>
                <w:szCs w:val="24"/>
              </w:rPr>
              <w:t xml:space="preserve"> обчислювального кластеру </w:t>
            </w:r>
            <w:r>
              <w:rPr>
                <w:rFonts w:ascii="Times New Roman" w:hAnsi="Times New Roman" w:eastAsia="Calibri" w:cs="Times New Roman"/>
                <w:sz w:val="24"/>
                <w:szCs w:val="24"/>
              </w:rPr>
              <w:t xml:space="preserve">ІКС 112</w:t>
            </w:r>
            <w:r>
              <w:rPr>
                <w:rFonts w:ascii="Times New Roman" w:hAnsi="Times New Roman" w:cs="Times New Roman"/>
                <w:sz w:val="24"/>
                <w:szCs w:val="24"/>
              </w:rPr>
              <w:t xml:space="preserve">. </w:t>
            </w:r>
            <w:r/>
          </w:p>
        </w:tc>
      </w:tr>
    </w:tbl>
    <w:p>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 надання Послуг, час реакції відповідно до Пріоритету Звернення</w:t>
      </w:r>
      <w:r>
        <w:rPr>
          <w:rFonts w:ascii="Times New Roman" w:hAnsi="Times New Roman" w:eastAsia="Calibri" w:cs="Times New Roman"/>
          <w:sz w:val="24"/>
          <w:szCs w:val="24"/>
        </w:rPr>
        <w:t xml:space="preserve">        </w:t>
      </w:r>
      <w:r/>
    </w:p>
    <w:tbl>
      <w:tblPr>
        <w:tblW w:w="4063" w:type="pct"/>
        <w:jc w:val="center"/>
        <w:tblCellMar>
          <w:left w:w="0" w:type="dxa"/>
          <w:right w:w="0" w:type="dxa"/>
        </w:tblCellMar>
        <w:tblLook w:val="04A0" w:firstRow="1" w:lastRow="0" w:firstColumn="1" w:lastColumn="0" w:noHBand="0" w:noVBand="1"/>
      </w:tblPr>
      <w:tblGrid>
        <w:gridCol w:w="1738"/>
        <w:gridCol w:w="2300"/>
        <w:gridCol w:w="1939"/>
        <w:gridCol w:w="1843"/>
      </w:tblGrid>
      <w:tr>
        <w:trPr>
          <w:jc w:val="center"/>
        </w:trPr>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vAlign w:val="center"/>
            <w:textDirection w:val="lrTb"/>
            <w:noWrap w:val="false"/>
          </w:tcPr>
          <w:p>
            <w:pPr>
              <w:ind w:left="313"/>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Пріоритет</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0"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підтримки</w:t>
            </w:r>
            <w:r/>
          </w:p>
        </w:tc>
        <w:tc>
          <w:tcPr>
            <w:shd w:val="clear" w:color="auto" w:fill="d9d9d9" w:themeFill="background1" w:themeFillShade="D9"/>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3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 реакції, </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робочих годин</w:t>
            </w:r>
            <w:r/>
          </w:p>
        </w:tc>
        <w:tc>
          <w:tcPr>
            <w:shd w:val="clear" w:color="auto" w:fill="d9d9d9" w:themeFill="background1" w:themeFillShade="D9"/>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Час відновлення працездатності</w:t>
            </w:r>
            <w:r/>
          </w:p>
        </w:tc>
      </w:tr>
      <w:tr>
        <w:trPr>
          <w:jc w:val="cente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 7</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3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lang w:val="ru-RU"/>
              </w:rPr>
              <w:t xml:space="preserve">4 *</w:t>
            </w:r>
            <w:r/>
          </w:p>
        </w:tc>
      </w:tr>
      <w:tr>
        <w:trPr>
          <w:jc w:val="center"/>
        </w:trPr>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738"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2300"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 5 (з 9 до 18)</w:t>
            </w:r>
            <w:r/>
          </w:p>
        </w:tc>
        <w:tc>
          <w:tcPr>
            <w:tcBorders>
              <w:top w:val="single" w:color="000000" w:sz="6" w:space="0"/>
              <w:left w:val="single" w:color="000000" w:sz="6" w:space="0"/>
              <w:bottom w:val="single" w:color="000000" w:sz="6" w:space="0"/>
              <w:right w:val="single" w:color="000000" w:sz="6" w:space="0"/>
            </w:tcBorders>
            <w:tcMar>
              <w:left w:w="108" w:type="dxa"/>
              <w:top w:w="0" w:type="dxa"/>
              <w:right w:w="108" w:type="dxa"/>
              <w:bottom w:w="0" w:type="dxa"/>
            </w:tcMar>
            <w:tcW w:w="1939"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NBD</w:t>
            </w:r>
            <w:r/>
          </w:p>
        </w:tc>
        <w:tc>
          <w:tcPr>
            <w:tcBorders>
              <w:top w:val="single" w:color="000000" w:sz="6" w:space="0"/>
              <w:left w:val="single" w:color="000000" w:sz="6" w:space="0"/>
              <w:bottom w:val="single" w:color="000000" w:sz="6" w:space="0"/>
              <w:right w:val="single" w:color="auto" w:sz="4" w:space="0"/>
            </w:tcBorders>
            <w:tcW w:w="1843"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домовленістю</w:t>
            </w:r>
            <w:r/>
          </w:p>
        </w:tc>
      </w:tr>
    </w:tbl>
    <w:p>
      <w:pPr>
        <w:jc w:val="both"/>
        <w:spacing w:before="240"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w:t>
      </w:r>
      <w:r>
        <w:rPr>
          <w:rFonts w:ascii="Times New Roman" w:hAnsi="Times New Roman" w:cs="Times New Roman"/>
          <w:sz w:val="24"/>
          <w:szCs w:val="24"/>
        </w:rPr>
        <w:t xml:space="preserve">при умові, що обладнання знаходиться на підтримці вендора та надання запчастин вендором</w:t>
      </w:r>
      <w:r/>
    </w:p>
    <w:p>
      <w:pPr>
        <w:keepLines/>
        <w:keepNext/>
        <w:spacing w:before="240" w:after="0" w:line="240" w:lineRule="auto"/>
        <w:rPr>
          <w:rFonts w:ascii="Times New Roman" w:hAnsi="Times New Roman" w:cs="Times New Roman" w:eastAsiaTheme="majorEastAsia"/>
          <w:b/>
          <w:bCs/>
          <w:sz w:val="24"/>
          <w:szCs w:val="24"/>
          <w:u w:val="single"/>
        </w:rPr>
        <w:outlineLvl w:val="0"/>
      </w:pPr>
      <w:r>
        <w:rPr>
          <w:rFonts w:ascii="Times New Roman" w:hAnsi="Times New Roman" w:cs="Times New Roman" w:eastAsiaTheme="majorEastAsia"/>
          <w:b/>
          <w:bCs/>
          <w:sz w:val="24"/>
          <w:szCs w:val="24"/>
          <w:u w:val="single"/>
        </w:rPr>
        <w:t xml:space="preserve">Подовження сервісної підтримки, для </w:t>
      </w:r>
      <w:r>
        <w:rPr>
          <w:rFonts w:ascii="Times New Roman" w:hAnsi="Times New Roman" w:cs="Times New Roman" w:eastAsiaTheme="majorEastAsia"/>
          <w:b/>
          <w:bCs/>
          <w:sz w:val="24"/>
          <w:szCs w:val="24"/>
          <w:u w:val="single"/>
          <w:lang w:val="en-US"/>
        </w:rPr>
        <w:t xml:space="preserve">Cisco</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lang w:val="en-US"/>
        </w:rPr>
        <w:t xml:space="preserve">BE</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lang w:val="en-US"/>
        </w:rPr>
        <w:t xml:space="preserve">Embedded</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lang w:val="en-US"/>
        </w:rPr>
        <w:t xml:space="preserve">Virt</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lang w:val="en-US"/>
        </w:rPr>
        <w:t xml:space="preserve">Basic Plus 7x, BE6K/7K only</w:t>
      </w:r>
      <w:r>
        <w:rPr>
          <w:rFonts w:ascii="Times New Roman" w:hAnsi="Times New Roman" w:cs="Times New Roman" w:eastAsiaTheme="majorEastAsia"/>
          <w:b/>
          <w:bCs/>
          <w:sz w:val="24"/>
          <w:szCs w:val="24"/>
          <w:u w:val="single"/>
        </w:rPr>
        <w:t xml:space="preserve"> (CON-ECMU-BE67KVSP), </w:t>
      </w:r>
      <w:r>
        <w:rPr>
          <w:rFonts w:ascii="Times New Roman" w:hAnsi="Times New Roman" w:cs="Times New Roman" w:eastAsiaTheme="majorEastAsia"/>
          <w:b/>
          <w:bCs/>
          <w:sz w:val="24"/>
          <w:szCs w:val="24"/>
          <w:u w:val="single"/>
          <w:lang w:val="en-US"/>
        </w:rPr>
        <w:t xml:space="preserve">4</w:t>
      </w:r>
      <w:r>
        <w:rPr>
          <w:rFonts w:ascii="Times New Roman" w:hAnsi="Times New Roman" w:cs="Times New Roman" w:eastAsiaTheme="majorEastAsia"/>
          <w:b/>
          <w:bCs/>
          <w:sz w:val="24"/>
          <w:szCs w:val="24"/>
          <w:u w:val="single"/>
        </w:rPr>
        <w:t xml:space="preserve"> шт.</w:t>
      </w:r>
      <w:r/>
    </w:p>
    <w:tbl>
      <w:tblPr>
        <w:tblStyle w:val="675"/>
        <w:tblW w:w="0" w:type="auto"/>
        <w:tblLook w:val="04A0" w:firstRow="1" w:lastRow="0" w:firstColumn="1" w:lastColumn="0" w:noHBand="0" w:noVBand="1"/>
      </w:tblPr>
      <w:tblGrid>
        <w:gridCol w:w="1582"/>
        <w:gridCol w:w="7763"/>
      </w:tblGrid>
      <w:tr>
        <w:trPr/>
        <w:tc>
          <w:tcPr>
            <w:tcW w:w="158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tcW w:w="7763" w:type="dxa"/>
            <w:textDirection w:val="lrTb"/>
            <w:noWrap w:val="false"/>
          </w:tcPr>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2,94 місяці;</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r>
              <w:rPr>
                <w:rFonts w:ascii="Times New Roman" w:hAnsi="Times New Roman" w:cs="Times New Roman"/>
                <w:sz w:val="24"/>
                <w:szCs w:val="24"/>
              </w:rPr>
              <w:t xml:space="preserve">мікрокоду</w:t>
            </w:r>
            <w:r>
              <w:rPr>
                <w:rFonts w:ascii="Times New Roman" w:hAnsi="Times New Roman" w:cs="Times New Roman"/>
                <w:sz w:val="24"/>
                <w:szCs w:val="24"/>
              </w:rPr>
              <w:t xml:space="preserve"> системи і версій встановленого програмного забезпечення;</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 пристроїв;</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bl>
    <w:p>
      <w:pPr>
        <w:keepLines/>
        <w:keepNext/>
        <w:spacing w:before="240" w:after="0" w:line="240" w:lineRule="auto"/>
        <w:rPr>
          <w:rFonts w:ascii="Times New Roman" w:hAnsi="Times New Roman" w:cs="Times New Roman" w:eastAsiaTheme="majorEastAsia"/>
          <w:b/>
          <w:bCs/>
          <w:sz w:val="24"/>
          <w:szCs w:val="24"/>
          <w:u w:val="single"/>
        </w:rPr>
        <w:outlineLvl w:val="0"/>
      </w:pPr>
      <w:r>
        <w:rPr>
          <w:rFonts w:ascii="Times New Roman" w:hAnsi="Times New Roman" w:cs="Times New Roman" w:eastAsiaTheme="majorEastAsia"/>
          <w:b/>
          <w:bCs/>
          <w:sz w:val="24"/>
          <w:szCs w:val="24"/>
          <w:u w:val="single"/>
        </w:rPr>
        <w:t xml:space="preserve">Подовження сервісної підтримки, для </w:t>
      </w:r>
      <w:r>
        <w:rPr>
          <w:rFonts w:ascii="Times New Roman" w:hAnsi="Times New Roman" w:cs="Times New Roman" w:eastAsiaTheme="majorEastAsia"/>
          <w:b/>
          <w:bCs/>
          <w:sz w:val="24"/>
          <w:szCs w:val="24"/>
          <w:u w:val="single"/>
          <w:lang w:val="en-US"/>
        </w:rPr>
        <w:t xml:space="preserve">Cisco Business Edition 7000H (M5) Appliance, Export </w:t>
      </w:r>
      <w:r>
        <w:rPr>
          <w:rFonts w:ascii="Times New Roman" w:hAnsi="Times New Roman" w:cs="Times New Roman" w:eastAsiaTheme="majorEastAsia"/>
          <w:b/>
          <w:bCs/>
          <w:sz w:val="24"/>
          <w:szCs w:val="24"/>
          <w:u w:val="single"/>
          <w:lang w:val="en-US"/>
        </w:rPr>
        <w:t xml:space="preserve">Restr</w:t>
      </w:r>
      <w:r>
        <w:rPr>
          <w:rFonts w:ascii="Times New Roman" w:hAnsi="Times New Roman" w:cs="Times New Roman" w:eastAsiaTheme="majorEastAsia"/>
          <w:b/>
          <w:bCs/>
          <w:sz w:val="24"/>
          <w:szCs w:val="24"/>
          <w:u w:val="single"/>
          <w:lang w:val="en-US"/>
        </w:rPr>
        <w:t xml:space="preserve"> SW</w:t>
      </w:r>
      <w:r>
        <w:rPr>
          <w:rFonts w:ascii="Times New Roman" w:hAnsi="Times New Roman" w:cs="Times New Roman" w:eastAsiaTheme="majorEastAsia"/>
          <w:b/>
          <w:bCs/>
          <w:sz w:val="24"/>
          <w:szCs w:val="24"/>
          <w:u w:val="single"/>
        </w:rPr>
        <w:t xml:space="preserve"> (CON-SNT-BE79M5KH), </w:t>
      </w:r>
      <w:r>
        <w:rPr>
          <w:rFonts w:ascii="Times New Roman" w:hAnsi="Times New Roman" w:cs="Times New Roman" w:eastAsiaTheme="majorEastAsia"/>
          <w:b/>
          <w:bCs/>
          <w:sz w:val="24"/>
          <w:szCs w:val="24"/>
          <w:u w:val="single"/>
          <w:lang w:val="en-US"/>
        </w:rPr>
        <w:t xml:space="preserve">4</w:t>
      </w:r>
      <w:r>
        <w:rPr>
          <w:rFonts w:ascii="Times New Roman" w:hAnsi="Times New Roman" w:cs="Times New Roman" w:eastAsiaTheme="majorEastAsia"/>
          <w:b/>
          <w:bCs/>
          <w:sz w:val="24"/>
          <w:szCs w:val="24"/>
          <w:u w:val="single"/>
        </w:rPr>
        <w:t xml:space="preserve"> шт.</w:t>
      </w:r>
      <w:r/>
    </w:p>
    <w:tbl>
      <w:tblPr>
        <w:tblStyle w:val="675"/>
        <w:tblW w:w="0" w:type="auto"/>
        <w:tblLook w:val="04A0" w:firstRow="1" w:lastRow="0" w:firstColumn="1" w:lastColumn="0" w:noHBand="0" w:noVBand="1"/>
      </w:tblPr>
      <w:tblGrid>
        <w:gridCol w:w="1582"/>
        <w:gridCol w:w="7763"/>
      </w:tblGrid>
      <w:tr>
        <w:trPr/>
        <w:tc>
          <w:tcPr>
            <w:tcW w:w="158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tcW w:w="7763" w:type="dxa"/>
            <w:textDirection w:val="lrTb"/>
            <w:noWrap w:val="false"/>
          </w:tcPr>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r>
              <w:rPr>
                <w:rFonts w:ascii="Times New Roman" w:hAnsi="Times New Roman" w:cs="Times New Roman"/>
                <w:sz w:val="24"/>
                <w:szCs w:val="24"/>
              </w:rPr>
              <w:t xml:space="preserve">мікрокоду</w:t>
            </w:r>
            <w:r>
              <w:rPr>
                <w:rFonts w:ascii="Times New Roman" w:hAnsi="Times New Roman" w:cs="Times New Roman"/>
                <w:sz w:val="24"/>
                <w:szCs w:val="24"/>
              </w:rPr>
              <w:t xml:space="preserve"> системи і версій встановленого програмного забезпечення;</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w:t>
            </w:r>
            <w:r>
              <w:rPr>
                <w:rFonts w:ascii="Times New Roman" w:hAnsi="Times New Roman" w:cs="Times New Roman"/>
                <w:sz w:val="24"/>
                <w:szCs w:val="24"/>
                <w:lang w:val="en-US"/>
              </w:rPr>
              <w:t xml:space="preserve">NBD</w:t>
            </w:r>
            <w:r>
              <w:rPr>
                <w:rFonts w:ascii="Times New Roman" w:hAnsi="Times New Roman" w:cs="Times New Roman"/>
                <w:sz w:val="24"/>
                <w:szCs w:val="24"/>
              </w:rPr>
              <w:t xml:space="preserve"> (5 днів, 8 години, наступний робочий день), у випадку підтвердження необхідності заміни спеціалістом сервісної підтримки виробника;</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 пристроїв;</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bl>
    <w:p>
      <w:pPr>
        <w:keepLines/>
        <w:keepNext/>
        <w:spacing w:before="240" w:after="0" w:line="240" w:lineRule="auto"/>
        <w:rPr>
          <w:rFonts w:ascii="Times New Roman" w:hAnsi="Times New Roman" w:cs="Times New Roman" w:eastAsiaTheme="majorEastAsia"/>
          <w:b/>
          <w:bCs/>
          <w:sz w:val="24"/>
          <w:szCs w:val="24"/>
          <w:u w:val="single"/>
        </w:rPr>
        <w:outlineLvl w:val="0"/>
      </w:pPr>
      <w:r>
        <w:rPr>
          <w:rFonts w:ascii="Times New Roman" w:hAnsi="Times New Roman" w:cs="Times New Roman" w:eastAsiaTheme="majorEastAsia"/>
          <w:b/>
          <w:bCs/>
          <w:sz w:val="24"/>
          <w:szCs w:val="24"/>
          <w:u w:val="single"/>
        </w:rPr>
        <w:t xml:space="preserve">Подовження сервісної підтримки, для </w:t>
      </w:r>
      <w:r>
        <w:rPr>
          <w:rFonts w:ascii="Times New Roman" w:hAnsi="Times New Roman" w:cs="Times New Roman" w:eastAsiaTheme="majorEastAsia"/>
          <w:b/>
          <w:bCs/>
          <w:sz w:val="24"/>
          <w:szCs w:val="24"/>
          <w:u w:val="single"/>
        </w:rPr>
        <w:t xml:space="preserve">Cisco</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rPr>
        <w:t xml:space="preserve">Business</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rPr>
        <w:t xml:space="preserve">Edition</w:t>
      </w:r>
      <w:r>
        <w:rPr>
          <w:rFonts w:ascii="Times New Roman" w:hAnsi="Times New Roman" w:cs="Times New Roman" w:eastAsiaTheme="majorEastAsia"/>
          <w:b/>
          <w:bCs/>
          <w:sz w:val="24"/>
          <w:szCs w:val="24"/>
          <w:u w:val="single"/>
        </w:rPr>
        <w:t xml:space="preserve"> 7000H (M6) </w:t>
      </w:r>
      <w:r>
        <w:rPr>
          <w:rFonts w:ascii="Times New Roman" w:hAnsi="Times New Roman" w:cs="Times New Roman" w:eastAsiaTheme="majorEastAsia"/>
          <w:b/>
          <w:bCs/>
          <w:sz w:val="24"/>
          <w:szCs w:val="24"/>
          <w:u w:val="single"/>
        </w:rPr>
        <w:t xml:space="preserve">Appliance</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rPr>
        <w:t xml:space="preserve">Export</w:t>
      </w:r>
      <w:r>
        <w:rPr>
          <w:rFonts w:ascii="Times New Roman" w:hAnsi="Times New Roman" w:cs="Times New Roman" w:eastAsiaTheme="majorEastAsia"/>
          <w:b/>
          <w:bCs/>
          <w:sz w:val="24"/>
          <w:szCs w:val="24"/>
          <w:u w:val="single"/>
        </w:rPr>
        <w:t xml:space="preserve"> </w:t>
      </w:r>
      <w:r>
        <w:rPr>
          <w:rFonts w:ascii="Times New Roman" w:hAnsi="Times New Roman" w:cs="Times New Roman" w:eastAsiaTheme="majorEastAsia"/>
          <w:b/>
          <w:bCs/>
          <w:sz w:val="24"/>
          <w:szCs w:val="24"/>
          <w:u w:val="single"/>
        </w:rPr>
        <w:t xml:space="preserve">Restr</w:t>
      </w:r>
      <w:r>
        <w:rPr>
          <w:rFonts w:ascii="Times New Roman" w:hAnsi="Times New Roman" w:cs="Times New Roman" w:eastAsiaTheme="majorEastAsia"/>
          <w:b/>
          <w:bCs/>
          <w:sz w:val="24"/>
          <w:szCs w:val="24"/>
          <w:u w:val="single"/>
        </w:rPr>
        <w:t xml:space="preserve"> SW (CON-SNT-BE7HM6KM), </w:t>
      </w:r>
      <w:r>
        <w:rPr>
          <w:rFonts w:ascii="Times New Roman" w:hAnsi="Times New Roman" w:cs="Times New Roman" w:eastAsiaTheme="majorEastAsia"/>
          <w:b/>
          <w:bCs/>
          <w:sz w:val="24"/>
          <w:szCs w:val="24"/>
          <w:u w:val="single"/>
          <w:lang w:val="en-US"/>
        </w:rPr>
        <w:t xml:space="preserve">2</w:t>
      </w:r>
      <w:r>
        <w:rPr>
          <w:rFonts w:ascii="Times New Roman" w:hAnsi="Times New Roman" w:cs="Times New Roman" w:eastAsiaTheme="majorEastAsia"/>
          <w:b/>
          <w:bCs/>
          <w:sz w:val="24"/>
          <w:szCs w:val="24"/>
          <w:u w:val="single"/>
        </w:rPr>
        <w:t xml:space="preserve"> шт.</w:t>
      </w:r>
      <w:r/>
    </w:p>
    <w:tbl>
      <w:tblPr>
        <w:tblStyle w:val="675"/>
        <w:tblW w:w="0" w:type="auto"/>
        <w:tblLook w:val="04A0" w:firstRow="1" w:lastRow="0" w:firstColumn="1" w:lastColumn="0" w:noHBand="0" w:noVBand="1"/>
      </w:tblPr>
      <w:tblGrid>
        <w:gridCol w:w="1582"/>
        <w:gridCol w:w="7763"/>
      </w:tblGrid>
      <w:tr>
        <w:trPr/>
        <w:tc>
          <w:tcPr>
            <w:tcW w:w="158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tcW w:w="7763" w:type="dxa"/>
            <w:textDirection w:val="lrTb"/>
            <w:noWrap w:val="false"/>
          </w:tcPr>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w:t>
            </w:r>
            <w:r>
              <w:rPr>
                <w:rFonts w:ascii="Times New Roman" w:hAnsi="Times New Roman" w:cs="Times New Roman"/>
                <w:sz w:val="24"/>
                <w:szCs w:val="24"/>
              </w:rPr>
              <w:t xml:space="preserve">мікрокоду</w:t>
            </w:r>
            <w:r>
              <w:rPr>
                <w:rFonts w:ascii="Times New Roman" w:hAnsi="Times New Roman" w:cs="Times New Roman"/>
                <w:sz w:val="24"/>
                <w:szCs w:val="24"/>
              </w:rPr>
              <w:t xml:space="preserve"> системи і версій встановленого програмного забезпечення;</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w:t>
            </w:r>
            <w:r>
              <w:rPr>
                <w:rFonts w:ascii="Times New Roman" w:hAnsi="Times New Roman" w:cs="Times New Roman"/>
                <w:sz w:val="24"/>
                <w:szCs w:val="24"/>
                <w:lang w:val="en-US"/>
              </w:rPr>
              <w:t xml:space="preserve">NBD</w:t>
            </w:r>
            <w:r>
              <w:rPr>
                <w:rFonts w:ascii="Times New Roman" w:hAnsi="Times New Roman" w:cs="Times New Roman"/>
                <w:sz w:val="24"/>
                <w:szCs w:val="24"/>
              </w:rPr>
              <w:t xml:space="preserve"> (5 днів, 8 години, наступний робочий день), у випадку підтвердження необхідності заміни спеціалістом сервісної підтримки виробника;</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w:t>
            </w:r>
            <w:r>
              <w:rPr>
                <w:rFonts w:ascii="Times New Roman" w:hAnsi="Times New Roman" w:cs="Times New Roman"/>
                <w:sz w:val="24"/>
                <w:szCs w:val="24"/>
              </w:rPr>
              <w:t xml:space="preserve">мікрокодів</w:t>
            </w:r>
            <w:r>
              <w:rPr>
                <w:rFonts w:ascii="Times New Roman" w:hAnsi="Times New Roman" w:cs="Times New Roman"/>
                <w:sz w:val="24"/>
                <w:szCs w:val="24"/>
              </w:rPr>
              <w:t xml:space="preserve"> пристроїв;</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numPr>
                <w:ilvl w:val="0"/>
                <w:numId w:val="11"/>
              </w:numPr>
              <w:contextualSpacing/>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bl>
    <w:p>
      <w:pPr>
        <w:ind w:firstLine="708"/>
        <w:jc w:val="both"/>
        <w:spacing w:before="240"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Надання Послуг, що пов’язані із попередньо запланованими перервами в функціонуванні </w:t>
      </w:r>
      <w:r>
        <w:rPr>
          <w:rFonts w:ascii="Times New Roman" w:hAnsi="Times New Roman" w:eastAsia="Calibri" w:cs="Times New Roman"/>
          <w:sz w:val="24"/>
          <w:szCs w:val="24"/>
        </w:rPr>
        <w:t xml:space="preserve">гіперконвергентного</w:t>
      </w:r>
      <w:r>
        <w:rPr>
          <w:rFonts w:ascii="Times New Roman" w:hAnsi="Times New Roman" w:eastAsia="Calibri" w:cs="Times New Roman"/>
          <w:sz w:val="24"/>
          <w:szCs w:val="24"/>
        </w:rPr>
        <w:t xml:space="preserve"> обчислювального кластеру ІКС 112 або окремих його складових, здійснюється в письмово погоджений Сторонами час.  </w:t>
      </w:r>
      <w:r/>
    </w:p>
    <w:p>
      <w:pPr>
        <w:jc w:val="both"/>
        <w:spacing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          Перевищення терміну відновлення працездатності </w:t>
      </w:r>
      <w:r>
        <w:rPr>
          <w:rFonts w:ascii="Times New Roman" w:hAnsi="Times New Roman" w:eastAsia="Calibri" w:cs="Times New Roman"/>
          <w:sz w:val="24"/>
          <w:szCs w:val="24"/>
        </w:rPr>
        <w:t xml:space="preserve">гіперконвергентного</w:t>
      </w:r>
      <w:r>
        <w:rPr>
          <w:rFonts w:ascii="Times New Roman" w:hAnsi="Times New Roman" w:eastAsia="Calibri" w:cs="Times New Roman"/>
          <w:sz w:val="24"/>
          <w:szCs w:val="24"/>
        </w:rPr>
        <w:t xml:space="preserve"> обчислювального кластеру ІКС 112 не враховується, якщо така непрацездатність була викликана діями технічних спеціалістів (адміністраторів) Замовника, помилками у програмному забезпече</w:t>
      </w:r>
      <w:r>
        <w:rPr>
          <w:rFonts w:ascii="Times New Roman" w:hAnsi="Times New Roman" w:eastAsia="Calibri" w:cs="Times New Roman"/>
          <w:sz w:val="24"/>
          <w:szCs w:val="24"/>
        </w:rPr>
        <w:t xml:space="preserve">нні виробника/вендора, мережевими та/або інфраструктурними неполадками в місцях експлуатації ІКС 112, поломками обладнання, що входить до складу ІКС 112, інтеграцією з інформаційними системами та ПЗ, що не входять до складу ІКС 112, діями третіх осіб тощо.</w:t>
      </w:r>
      <w:r/>
    </w:p>
    <w:p>
      <w:pPr>
        <w:jc w:val="both"/>
        <w:spacing w:after="0" w:line="240" w:lineRule="auto"/>
        <w:rPr>
          <w:rFonts w:ascii="Times New Roman" w:hAnsi="Times New Roman" w:eastAsia="Calibri" w:cs="Times New Roman"/>
          <w:sz w:val="24"/>
          <w:szCs w:val="24"/>
        </w:rPr>
        <w:pBdr>
          <w:top w:val="none" w:color="000000" w:sz="0" w:space="0"/>
          <w:left w:val="none" w:color="000000" w:sz="0" w:space="0"/>
          <w:bottom w:val="none" w:color="000000" w:sz="0" w:space="0"/>
          <w:right w:val="none" w:color="000000" w:sz="0" w:space="0"/>
        </w:pBdr>
      </w:pPr>
      <w:r>
        <w:rPr>
          <w:rFonts w:ascii="Times New Roman" w:hAnsi="Times New Roman" w:eastAsia="Calibri" w:cs="Times New Roman"/>
          <w:sz w:val="24"/>
          <w:szCs w:val="24"/>
        </w:rPr>
        <w:t xml:space="preserve">         У разі отримання звернення Виконавець зобов’язаний приступити до усунення проблеми у відповідності до цільового часу реакції та зробити все можливе для відновлення працездатності </w:t>
      </w:r>
      <w:r>
        <w:rPr>
          <w:rFonts w:ascii="Times New Roman" w:hAnsi="Times New Roman" w:eastAsia="Calibri" w:cs="Times New Roman"/>
          <w:sz w:val="24"/>
          <w:szCs w:val="24"/>
        </w:rPr>
        <w:t xml:space="preserve">гіперконвергентного</w:t>
      </w:r>
      <w:r>
        <w:rPr>
          <w:rFonts w:ascii="Times New Roman" w:hAnsi="Times New Roman" w:eastAsia="Calibri" w:cs="Times New Roman"/>
          <w:sz w:val="24"/>
          <w:szCs w:val="24"/>
        </w:rPr>
        <w:t xml:space="preserve"> обчислювального кластеру ІКС 112 незалежно від причин виникнення інциденту. </w:t>
      </w:r>
      <w:r/>
    </w:p>
    <w:p>
      <w:pPr>
        <w:pStyle w:val="673"/>
        <w:ind w:left="5" w:firstLine="562"/>
        <w:jc w:val="both"/>
        <w:spacing w:before="60"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Надати у складі тендерної пропозиції копії Сертифікатів, Партнерських угод або </w:t>
      </w:r>
      <w:r>
        <w:rPr>
          <w:rFonts w:ascii="Times New Roman" w:hAnsi="Times New Roman" w:cs="Times New Roman"/>
          <w:sz w:val="24"/>
          <w:szCs w:val="24"/>
          <w:lang w:val="uk-UA"/>
        </w:rPr>
        <w:t xml:space="preserve">Авторизаційних</w:t>
      </w:r>
      <w:r>
        <w:rPr>
          <w:rFonts w:ascii="Times New Roman" w:hAnsi="Times New Roman" w:cs="Times New Roman"/>
          <w:sz w:val="24"/>
          <w:szCs w:val="24"/>
          <w:lang w:val="uk-UA"/>
        </w:rPr>
        <w:t xml:space="preserve"> листів з виробниками ПЗ, що підтверджують наявні/діючі спеціалізації та партнерські відносини.</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4 039 127</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 мільйони тридцять дев’ять тисяч сто двадцять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9"/>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rPr>
        <w:strike w:val="0"/>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rPr>
        <w:strike w:val="0"/>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rPr>
        <w:strike w:val="0"/>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rPr>
        <w:strike w:val="0"/>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720" w:hanging="493"/>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rPr>
        <w:strike w:val="0"/>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900" w:hanging="360"/>
        <w:tabs>
          <w:tab w:val="num" w:pos="90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Symbol" w:hAnsi="Symbol"/>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num w:numId="1">
    <w:abstractNumId w:val="7"/>
  </w:num>
  <w:num w:numId="2">
    <w:abstractNumId w:val="3"/>
  </w:num>
  <w:num w:numId="3">
    <w:abstractNumId w:val="10"/>
  </w:num>
  <w:num w:numId="4">
    <w:abstractNumId w:val="0"/>
  </w:num>
  <w:num w:numId="5">
    <w:abstractNumId w:val="5"/>
  </w:num>
  <w:num w:numId="6">
    <w:abstractNumId w:val="8"/>
  </w:num>
  <w:num w:numId="7">
    <w:abstractNumId w:val="1"/>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6"/>
    <w:next w:val="66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70"/>
    <w:link w:val="12"/>
    <w:uiPriority w:val="9"/>
    <w:rPr>
      <w:rFonts w:ascii="Arial" w:hAnsi="Arial" w:eastAsia="Arial" w:cs="Arial"/>
      <w:sz w:val="40"/>
      <w:szCs w:val="40"/>
    </w:rPr>
  </w:style>
  <w:style w:type="character" w:styleId="15">
    <w:name w:val="Heading 2 Char"/>
    <w:basedOn w:val="670"/>
    <w:link w:val="667"/>
    <w:uiPriority w:val="9"/>
    <w:rPr>
      <w:rFonts w:ascii="Arial" w:hAnsi="Arial" w:eastAsia="Arial" w:cs="Arial"/>
      <w:sz w:val="34"/>
    </w:rPr>
  </w:style>
  <w:style w:type="character" w:styleId="17">
    <w:name w:val="Heading 3 Char"/>
    <w:basedOn w:val="670"/>
    <w:link w:val="668"/>
    <w:uiPriority w:val="9"/>
    <w:rPr>
      <w:rFonts w:ascii="Arial" w:hAnsi="Arial" w:eastAsia="Arial" w:cs="Arial"/>
      <w:sz w:val="30"/>
      <w:szCs w:val="30"/>
    </w:rPr>
  </w:style>
  <w:style w:type="character" w:styleId="19">
    <w:name w:val="Heading 4 Char"/>
    <w:basedOn w:val="670"/>
    <w:link w:val="669"/>
    <w:uiPriority w:val="9"/>
    <w:rPr>
      <w:rFonts w:ascii="Arial" w:hAnsi="Arial" w:eastAsia="Arial" w:cs="Arial"/>
      <w:b/>
      <w:bCs/>
      <w:sz w:val="26"/>
      <w:szCs w:val="26"/>
    </w:rPr>
  </w:style>
  <w:style w:type="paragraph" w:styleId="20">
    <w:name w:val="Heading 5"/>
    <w:basedOn w:val="666"/>
    <w:next w:val="66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70"/>
    <w:link w:val="20"/>
    <w:uiPriority w:val="9"/>
    <w:rPr>
      <w:rFonts w:ascii="Arial" w:hAnsi="Arial" w:eastAsia="Arial" w:cs="Arial"/>
      <w:b/>
      <w:bCs/>
      <w:sz w:val="24"/>
      <w:szCs w:val="24"/>
    </w:rPr>
  </w:style>
  <w:style w:type="paragraph" w:styleId="22">
    <w:name w:val="Heading 6"/>
    <w:basedOn w:val="666"/>
    <w:next w:val="66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70"/>
    <w:link w:val="22"/>
    <w:uiPriority w:val="9"/>
    <w:rPr>
      <w:rFonts w:ascii="Arial" w:hAnsi="Arial" w:eastAsia="Arial" w:cs="Arial"/>
      <w:b/>
      <w:bCs/>
      <w:sz w:val="22"/>
      <w:szCs w:val="22"/>
    </w:rPr>
  </w:style>
  <w:style w:type="paragraph" w:styleId="24">
    <w:name w:val="Heading 7"/>
    <w:basedOn w:val="666"/>
    <w:next w:val="66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70"/>
    <w:link w:val="24"/>
    <w:uiPriority w:val="9"/>
    <w:rPr>
      <w:rFonts w:ascii="Arial" w:hAnsi="Arial" w:eastAsia="Arial" w:cs="Arial"/>
      <w:b/>
      <w:bCs/>
      <w:i/>
      <w:iCs/>
      <w:sz w:val="22"/>
      <w:szCs w:val="22"/>
    </w:rPr>
  </w:style>
  <w:style w:type="paragraph" w:styleId="26">
    <w:name w:val="Heading 8"/>
    <w:basedOn w:val="666"/>
    <w:next w:val="66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70"/>
    <w:link w:val="26"/>
    <w:uiPriority w:val="9"/>
    <w:rPr>
      <w:rFonts w:ascii="Arial" w:hAnsi="Arial" w:eastAsia="Arial" w:cs="Arial"/>
      <w:i/>
      <w:iCs/>
      <w:sz w:val="22"/>
      <w:szCs w:val="22"/>
    </w:rPr>
  </w:style>
  <w:style w:type="paragraph" w:styleId="28">
    <w:name w:val="Heading 9"/>
    <w:basedOn w:val="666"/>
    <w:next w:val="66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70"/>
    <w:link w:val="28"/>
    <w:uiPriority w:val="9"/>
    <w:rPr>
      <w:rFonts w:ascii="Arial" w:hAnsi="Arial" w:eastAsia="Arial" w:cs="Arial"/>
      <w:i/>
      <w:iCs/>
      <w:sz w:val="21"/>
      <w:szCs w:val="21"/>
    </w:rPr>
  </w:style>
  <w:style w:type="paragraph" w:styleId="33">
    <w:name w:val="Title"/>
    <w:basedOn w:val="666"/>
    <w:next w:val="666"/>
    <w:link w:val="34"/>
    <w:uiPriority w:val="10"/>
    <w:qFormat/>
    <w:pPr>
      <w:contextualSpacing/>
      <w:spacing w:before="300" w:after="200"/>
    </w:pPr>
    <w:rPr>
      <w:sz w:val="48"/>
      <w:szCs w:val="48"/>
    </w:rPr>
  </w:style>
  <w:style w:type="character" w:styleId="34">
    <w:name w:val="Title Char"/>
    <w:basedOn w:val="670"/>
    <w:link w:val="33"/>
    <w:uiPriority w:val="10"/>
    <w:rPr>
      <w:sz w:val="48"/>
      <w:szCs w:val="48"/>
    </w:rPr>
  </w:style>
  <w:style w:type="paragraph" w:styleId="35">
    <w:name w:val="Subtitle"/>
    <w:basedOn w:val="666"/>
    <w:next w:val="666"/>
    <w:link w:val="36"/>
    <w:uiPriority w:val="11"/>
    <w:qFormat/>
    <w:pPr>
      <w:spacing w:before="200" w:after="200"/>
    </w:pPr>
    <w:rPr>
      <w:sz w:val="24"/>
      <w:szCs w:val="24"/>
    </w:rPr>
  </w:style>
  <w:style w:type="character" w:styleId="36">
    <w:name w:val="Subtitle Char"/>
    <w:basedOn w:val="670"/>
    <w:link w:val="35"/>
    <w:uiPriority w:val="11"/>
    <w:rPr>
      <w:sz w:val="24"/>
      <w:szCs w:val="24"/>
    </w:rPr>
  </w:style>
  <w:style w:type="paragraph" w:styleId="37">
    <w:name w:val="Quote"/>
    <w:basedOn w:val="666"/>
    <w:next w:val="666"/>
    <w:link w:val="38"/>
    <w:uiPriority w:val="29"/>
    <w:qFormat/>
    <w:pPr>
      <w:ind w:left="720" w:right="720"/>
    </w:pPr>
    <w:rPr>
      <w:i/>
    </w:rPr>
  </w:style>
  <w:style w:type="character" w:styleId="38">
    <w:name w:val="Quote Char"/>
    <w:link w:val="37"/>
    <w:uiPriority w:val="29"/>
    <w:rPr>
      <w:i/>
    </w:rPr>
  </w:style>
  <w:style w:type="paragraph" w:styleId="39">
    <w:name w:val="Intense Quote"/>
    <w:basedOn w:val="666"/>
    <w:next w:val="66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66"/>
    <w:link w:val="42"/>
    <w:uiPriority w:val="99"/>
    <w:unhideWhenUsed/>
    <w:pPr>
      <w:spacing w:after="0" w:line="240" w:lineRule="auto"/>
      <w:tabs>
        <w:tab w:val="center" w:pos="7143" w:leader="none"/>
        <w:tab w:val="right" w:pos="14287" w:leader="none"/>
      </w:tabs>
    </w:pPr>
  </w:style>
  <w:style w:type="character" w:styleId="42">
    <w:name w:val="Header Char"/>
    <w:basedOn w:val="670"/>
    <w:link w:val="41"/>
    <w:uiPriority w:val="99"/>
  </w:style>
  <w:style w:type="character" w:styleId="44">
    <w:name w:val="Footer Char"/>
    <w:basedOn w:val="670"/>
    <w:link w:val="679"/>
    <w:uiPriority w:val="99"/>
  </w:style>
  <w:style w:type="paragraph" w:styleId="45">
    <w:name w:val="Caption"/>
    <w:basedOn w:val="666"/>
    <w:next w:val="666"/>
    <w:uiPriority w:val="35"/>
    <w:semiHidden/>
    <w:unhideWhenUsed/>
    <w:qFormat/>
    <w:pPr>
      <w:spacing w:line="276" w:lineRule="auto"/>
    </w:pPr>
    <w:rPr>
      <w:b/>
      <w:bCs/>
      <w:color w:val="4f81bd" w:themeColor="accent1"/>
      <w:sz w:val="18"/>
      <w:szCs w:val="18"/>
    </w:rPr>
  </w:style>
  <w:style w:type="character" w:styleId="46">
    <w:name w:val="Caption Char"/>
    <w:basedOn w:val="45"/>
    <w:link w:val="679"/>
    <w:uiPriority w:val="99"/>
  </w:style>
  <w:style w:type="table" w:styleId="48">
    <w:name w:val="Table Grid Light"/>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7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7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7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7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7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7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7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7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7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7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7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7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7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7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7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7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7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7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7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7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7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7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7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7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7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7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7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7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7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7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7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7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7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7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7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7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7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7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7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7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7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7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7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7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7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7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7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7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7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7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7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7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7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7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7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7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7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7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7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7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7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7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7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7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7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7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7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7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7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7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7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7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7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7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7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7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7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7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7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7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7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7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7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7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7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7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7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7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7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7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7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7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7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7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70"/>
    <w:uiPriority w:val="99"/>
    <w:unhideWhenUsed/>
    <w:rPr>
      <w:vertAlign w:val="superscript"/>
    </w:rPr>
  </w:style>
  <w:style w:type="paragraph" w:styleId="177">
    <w:name w:val="endnote text"/>
    <w:basedOn w:val="66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70"/>
    <w:uiPriority w:val="99"/>
    <w:semiHidden/>
    <w:unhideWhenUsed/>
    <w:rPr>
      <w:vertAlign w:val="superscript"/>
    </w:rPr>
  </w:style>
  <w:style w:type="paragraph" w:styleId="180">
    <w:name w:val="toc 1"/>
    <w:basedOn w:val="666"/>
    <w:next w:val="666"/>
    <w:uiPriority w:val="39"/>
    <w:unhideWhenUsed/>
    <w:pPr>
      <w:ind w:left="0" w:right="0" w:firstLine="0"/>
      <w:spacing w:after="57"/>
    </w:pPr>
  </w:style>
  <w:style w:type="paragraph" w:styleId="181">
    <w:name w:val="toc 2"/>
    <w:basedOn w:val="666"/>
    <w:next w:val="666"/>
    <w:uiPriority w:val="39"/>
    <w:unhideWhenUsed/>
    <w:pPr>
      <w:ind w:left="283" w:right="0" w:firstLine="0"/>
      <w:spacing w:after="57"/>
    </w:pPr>
  </w:style>
  <w:style w:type="paragraph" w:styleId="182">
    <w:name w:val="toc 3"/>
    <w:basedOn w:val="666"/>
    <w:next w:val="666"/>
    <w:uiPriority w:val="39"/>
    <w:unhideWhenUsed/>
    <w:pPr>
      <w:ind w:left="567" w:right="0" w:firstLine="0"/>
      <w:spacing w:after="57"/>
    </w:pPr>
  </w:style>
  <w:style w:type="paragraph" w:styleId="183">
    <w:name w:val="toc 4"/>
    <w:basedOn w:val="666"/>
    <w:next w:val="666"/>
    <w:uiPriority w:val="39"/>
    <w:unhideWhenUsed/>
    <w:pPr>
      <w:ind w:left="850" w:right="0" w:firstLine="0"/>
      <w:spacing w:after="57"/>
    </w:pPr>
  </w:style>
  <w:style w:type="paragraph" w:styleId="184">
    <w:name w:val="toc 5"/>
    <w:basedOn w:val="666"/>
    <w:next w:val="666"/>
    <w:uiPriority w:val="39"/>
    <w:unhideWhenUsed/>
    <w:pPr>
      <w:ind w:left="1134" w:right="0" w:firstLine="0"/>
      <w:spacing w:after="57"/>
    </w:pPr>
  </w:style>
  <w:style w:type="paragraph" w:styleId="185">
    <w:name w:val="toc 6"/>
    <w:basedOn w:val="666"/>
    <w:next w:val="666"/>
    <w:uiPriority w:val="39"/>
    <w:unhideWhenUsed/>
    <w:pPr>
      <w:ind w:left="1417" w:right="0" w:firstLine="0"/>
      <w:spacing w:after="57"/>
    </w:pPr>
  </w:style>
  <w:style w:type="paragraph" w:styleId="186">
    <w:name w:val="toc 7"/>
    <w:basedOn w:val="666"/>
    <w:next w:val="666"/>
    <w:uiPriority w:val="39"/>
    <w:unhideWhenUsed/>
    <w:pPr>
      <w:ind w:left="1701" w:right="0" w:firstLine="0"/>
      <w:spacing w:after="57"/>
    </w:pPr>
  </w:style>
  <w:style w:type="paragraph" w:styleId="187">
    <w:name w:val="toc 8"/>
    <w:basedOn w:val="666"/>
    <w:next w:val="666"/>
    <w:uiPriority w:val="39"/>
    <w:unhideWhenUsed/>
    <w:pPr>
      <w:ind w:left="1984" w:right="0" w:firstLine="0"/>
      <w:spacing w:after="57"/>
    </w:pPr>
  </w:style>
  <w:style w:type="paragraph" w:styleId="188">
    <w:name w:val="toc 9"/>
    <w:basedOn w:val="666"/>
    <w:next w:val="66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6"/>
    <w:next w:val="666"/>
    <w:uiPriority w:val="99"/>
    <w:unhideWhenUsed/>
    <w:pPr>
      <w:spacing w:after="0" w:afterAutospacing="0"/>
    </w:pPr>
  </w:style>
  <w:style w:type="paragraph" w:styleId="666" w:default="1">
    <w:name w:val="Normal"/>
    <w:qFormat/>
    <w:rPr>
      <w:lang w:val="uk-UA"/>
    </w:rPr>
  </w:style>
  <w:style w:type="paragraph" w:styleId="667">
    <w:name w:val="Heading 2"/>
    <w:basedOn w:val="666"/>
    <w:link w:val="688"/>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8">
    <w:name w:val="Heading 3"/>
    <w:basedOn w:val="666"/>
    <w:next w:val="666"/>
    <w:link w:val="705"/>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9">
    <w:name w:val="Heading 4"/>
    <w:basedOn w:val="666"/>
    <w:next w:val="666"/>
    <w:link w:val="706"/>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70" w:default="1">
    <w:name w:val="Default Paragraph Font"/>
    <w:uiPriority w:val="1"/>
    <w:semiHidden/>
    <w:unhideWhenUsed/>
  </w:style>
  <w:style w:type="table" w:styleId="671" w:default="1">
    <w:name w:val="Normal Table"/>
    <w:uiPriority w:val="99"/>
    <w:semiHidden/>
    <w:unhideWhenUsed/>
    <w:tblPr>
      <w:tblInd w:w="0" w:type="dxa"/>
      <w:tblCellMar>
        <w:left w:w="108" w:type="dxa"/>
        <w:top w:w="0" w:type="dxa"/>
        <w:right w:w="108" w:type="dxa"/>
        <w:bottom w:w="0" w:type="dxa"/>
      </w:tblCellMar>
    </w:tblPr>
  </w:style>
  <w:style w:type="numbering" w:styleId="672" w:default="1">
    <w:name w:val="No List"/>
    <w:uiPriority w:val="99"/>
    <w:semiHidden/>
    <w:unhideWhenUsed/>
  </w:style>
  <w:style w:type="paragraph" w:styleId="673">
    <w:name w:val="List Paragraph"/>
    <w:basedOn w:val="666"/>
    <w:link w:val="674"/>
    <w:uiPriority w:val="34"/>
    <w:qFormat/>
    <w:pPr>
      <w:contextualSpacing/>
      <w:ind w:left="720"/>
      <w:spacing w:after="200" w:line="276" w:lineRule="auto"/>
    </w:pPr>
    <w:rPr>
      <w:rFonts w:ascii="Calibri" w:hAnsi="Calibri" w:eastAsia="Calibri" w:cs="Calibri"/>
      <w:lang w:val="ru-RU" w:eastAsia="zh-CN"/>
    </w:rPr>
  </w:style>
  <w:style w:type="character" w:styleId="674" w:customStyle="1">
    <w:name w:val="Абзац списку Знак"/>
    <w:link w:val="673"/>
    <w:uiPriority w:val="34"/>
    <w:qFormat/>
    <w:rPr>
      <w:rFonts w:ascii="Calibri" w:hAnsi="Calibri" w:eastAsia="Calibri" w:cs="Calibri"/>
      <w:lang w:eastAsia="zh-CN"/>
    </w:rPr>
  </w:style>
  <w:style w:type="table" w:styleId="675">
    <w:name w:val="Table Grid"/>
    <w:basedOn w:val="671"/>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6" w:customStyle="1">
    <w:name w:val="Сетка таблицы2"/>
    <w:basedOn w:val="671"/>
    <w:next w:val="675"/>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7">
    <w:name w:val="Normal (Web)"/>
    <w:basedOn w:val="666"/>
    <w:link w:val="684"/>
    <w:unhideWhenUsed/>
    <w:qFormat/>
    <w:rPr>
      <w:rFonts w:ascii="Times New Roman" w:hAnsi="Times New Roman" w:cs="Times New Roman"/>
      <w:sz w:val="24"/>
      <w:szCs w:val="24"/>
    </w:rPr>
  </w:style>
  <w:style w:type="table" w:styleId="678" w:customStyle="1">
    <w:name w:val="Сетка таблицы1"/>
    <w:basedOn w:val="671"/>
    <w:next w:val="675"/>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9">
    <w:name w:val="Footer"/>
    <w:basedOn w:val="666"/>
    <w:link w:val="680"/>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80" w:customStyle="1">
    <w:name w:val="Нижній колонтитул Знак"/>
    <w:basedOn w:val="670"/>
    <w:link w:val="679"/>
    <w:uiPriority w:val="99"/>
    <w:rPr>
      <w:rFonts w:ascii="Calibri" w:hAnsi="Calibri" w:eastAsia="Calibri" w:cs="Calibri"/>
      <w:lang w:eastAsia="zh-CN"/>
    </w:rPr>
  </w:style>
  <w:style w:type="paragraph" w:styleId="681"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82">
    <w:name w:val="Hyperlink"/>
    <w:basedOn w:val="670"/>
    <w:uiPriority w:val="99"/>
    <w:unhideWhenUsed/>
    <w:rPr>
      <w:color w:val="0563c1" w:themeColor="hyperlink"/>
      <w:u w:val="single"/>
    </w:rPr>
  </w:style>
  <w:style w:type="character" w:styleId="683" w:customStyle="1">
    <w:name w:val="xfm_93972720"/>
    <w:basedOn w:val="670"/>
  </w:style>
  <w:style w:type="character" w:styleId="684" w:customStyle="1">
    <w:name w:val="Звичайний (веб) Знак"/>
    <w:link w:val="677"/>
    <w:qFormat/>
    <w:rPr>
      <w:rFonts w:ascii="Times New Roman" w:hAnsi="Times New Roman" w:cs="Times New Roman"/>
      <w:sz w:val="24"/>
      <w:szCs w:val="24"/>
      <w:lang w:val="uk-UA"/>
    </w:rPr>
  </w:style>
  <w:style w:type="paragraph" w:styleId="685">
    <w:name w:val="Body Text 2"/>
    <w:basedOn w:val="666"/>
    <w:link w:val="686"/>
    <w:pPr>
      <w:spacing w:after="0" w:line="240" w:lineRule="auto"/>
    </w:pPr>
    <w:rPr>
      <w:rFonts w:ascii="Times New Roman" w:hAnsi="Times New Roman" w:eastAsia="Times New Roman" w:cs="Times New Roman"/>
      <w:sz w:val="28"/>
      <w:szCs w:val="20"/>
      <w:lang w:val="ru-RU" w:eastAsia="ru-RU"/>
    </w:rPr>
  </w:style>
  <w:style w:type="character" w:styleId="686" w:customStyle="1">
    <w:name w:val="Основний текст 2 Знак"/>
    <w:basedOn w:val="670"/>
    <w:link w:val="685"/>
    <w:rPr>
      <w:rFonts w:ascii="Times New Roman" w:hAnsi="Times New Roman" w:eastAsia="Times New Roman" w:cs="Times New Roman"/>
      <w:sz w:val="28"/>
      <w:szCs w:val="20"/>
      <w:lang w:eastAsia="ru-RU"/>
    </w:rPr>
  </w:style>
  <w:style w:type="paragraph" w:styleId="687"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8" w:customStyle="1">
    <w:name w:val="Заголовок 2 Знак"/>
    <w:basedOn w:val="670"/>
    <w:link w:val="667"/>
    <w:uiPriority w:val="9"/>
    <w:rPr>
      <w:rFonts w:ascii="Times New Roman" w:hAnsi="Times New Roman" w:eastAsia="Times New Roman" w:cs="Times New Roman"/>
      <w:b/>
      <w:bCs/>
      <w:sz w:val="36"/>
      <w:szCs w:val="36"/>
      <w:lang w:val="uk-UA" w:eastAsia="uk-UA"/>
    </w:rPr>
  </w:style>
  <w:style w:type="paragraph" w:styleId="689">
    <w:name w:val="No Spacing"/>
    <w:link w:val="690"/>
    <w:uiPriority w:val="1"/>
    <w:qFormat/>
    <w:pPr>
      <w:spacing w:after="0" w:line="240" w:lineRule="auto"/>
    </w:pPr>
    <w:rPr>
      <w:rFonts w:ascii="Calibri" w:hAnsi="Calibri" w:eastAsia="Calibri" w:cs="Times New Roman"/>
      <w:lang w:val="uk-UA"/>
    </w:rPr>
  </w:style>
  <w:style w:type="character" w:styleId="690" w:customStyle="1">
    <w:name w:val="Без інтервалів Знак"/>
    <w:basedOn w:val="670"/>
    <w:link w:val="689"/>
    <w:uiPriority w:val="1"/>
    <w:rPr>
      <w:rFonts w:ascii="Calibri" w:hAnsi="Calibri" w:eastAsia="Calibri" w:cs="Times New Roman"/>
      <w:lang w:val="uk-UA"/>
    </w:rPr>
  </w:style>
  <w:style w:type="character" w:styleId="691" w:customStyle="1">
    <w:name w:val="Другое_"/>
    <w:basedOn w:val="670"/>
    <w:link w:val="692"/>
    <w:rPr>
      <w:rFonts w:ascii="Calibri" w:hAnsi="Calibri" w:eastAsia="Calibri" w:cs="Calibri"/>
      <w:sz w:val="20"/>
      <w:szCs w:val="20"/>
    </w:rPr>
  </w:style>
  <w:style w:type="paragraph" w:styleId="692" w:customStyle="1">
    <w:name w:val="Другое"/>
    <w:basedOn w:val="666"/>
    <w:link w:val="691"/>
    <w:qFormat/>
    <w:pPr>
      <w:spacing w:after="0" w:line="240" w:lineRule="auto"/>
      <w:widowControl w:val="off"/>
    </w:pPr>
    <w:rPr>
      <w:rFonts w:ascii="Calibri" w:hAnsi="Calibri" w:eastAsia="Calibri" w:cs="Calibri"/>
      <w:sz w:val="20"/>
      <w:szCs w:val="20"/>
      <w:lang w:val="ru-RU"/>
    </w:rPr>
  </w:style>
  <w:style w:type="paragraph" w:styleId="693"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94" w:customStyle="1">
    <w:name w:val="Основной текст (2)_"/>
    <w:basedOn w:val="670"/>
    <w:link w:val="695"/>
    <w:rPr>
      <w:rFonts w:eastAsia="Times New Roman" w:cs="Times New Roman"/>
      <w:shd w:val="clear" w:color="auto" w:fill="ffffff"/>
    </w:rPr>
  </w:style>
  <w:style w:type="paragraph" w:styleId="695" w:customStyle="1">
    <w:name w:val="Основной текст (2)"/>
    <w:basedOn w:val="666"/>
    <w:link w:val="694"/>
    <w:pPr>
      <w:ind w:hanging="700"/>
      <w:jc w:val="both"/>
      <w:spacing w:before="240" w:after="480" w:line="0" w:lineRule="atLeast"/>
      <w:shd w:val="clear" w:color="auto" w:fill="ffffff"/>
      <w:widowControl w:val="off"/>
    </w:pPr>
    <w:rPr>
      <w:rFonts w:eastAsia="Times New Roman" w:cs="Times New Roman"/>
      <w:lang w:val="ru-RU"/>
    </w:rPr>
  </w:style>
  <w:style w:type="character" w:styleId="696" w:customStyle="1">
    <w:name w:val="Текст у виносці Знак"/>
    <w:basedOn w:val="670"/>
    <w:link w:val="697"/>
    <w:uiPriority w:val="99"/>
    <w:semiHidden/>
    <w:rPr>
      <w:rFonts w:ascii="Segoe UI" w:hAnsi="Segoe UI" w:eastAsia="Times New Roman" w:cs="Segoe UI"/>
      <w:sz w:val="18"/>
      <w:szCs w:val="18"/>
      <w:lang w:eastAsia="ru-RU"/>
    </w:rPr>
  </w:style>
  <w:style w:type="paragraph" w:styleId="697">
    <w:name w:val="Balloon Text"/>
    <w:basedOn w:val="666"/>
    <w:link w:val="696"/>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98" w:customStyle="1">
    <w:name w:val="Текст у виносці Знак1"/>
    <w:basedOn w:val="670"/>
    <w:uiPriority w:val="99"/>
    <w:semiHidden/>
    <w:rPr>
      <w:rFonts w:ascii="Segoe UI" w:hAnsi="Segoe UI" w:cs="Segoe UI"/>
      <w:sz w:val="18"/>
      <w:szCs w:val="18"/>
      <w:lang w:val="uk-UA"/>
    </w:rPr>
  </w:style>
  <w:style w:type="character" w:styleId="699" w:customStyle="1">
    <w:name w:val="T23"/>
    <w:rPr>
      <w:rFonts w:hint="default" w:ascii="Times New Roman" w:hAnsi="Times New Roman" w:eastAsia="Times New Roman1" w:cs="Times New Roman"/>
    </w:rPr>
  </w:style>
  <w:style w:type="paragraph" w:styleId="700" w:customStyle="1">
    <w:name w:val="Абзац списку1"/>
    <w:basedOn w:val="666"/>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01" w:customStyle="1">
    <w:name w:val="markedcontent"/>
    <w:basedOn w:val="670"/>
  </w:style>
  <w:style w:type="paragraph" w:styleId="702">
    <w:name w:val="annotation text"/>
    <w:basedOn w:val="666"/>
    <w:link w:val="703"/>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03" w:customStyle="1">
    <w:name w:val="Текст примітки Знак"/>
    <w:basedOn w:val="670"/>
    <w:link w:val="702"/>
    <w:uiPriority w:val="99"/>
    <w:rPr>
      <w:rFonts w:ascii="Times New Roman" w:hAnsi="Times New Roman" w:eastAsia="Times New Roman" w:cs="Times New Roman"/>
      <w:sz w:val="20"/>
      <w:szCs w:val="20"/>
      <w:lang w:eastAsia="ru-RU"/>
    </w:rPr>
  </w:style>
  <w:style w:type="character" w:styleId="704" w:customStyle="1">
    <w:name w:val="docdata"/>
    <w:basedOn w:val="670"/>
  </w:style>
  <w:style w:type="character" w:styleId="705" w:customStyle="1">
    <w:name w:val="Заголовок 3 Знак"/>
    <w:basedOn w:val="670"/>
    <w:link w:val="668"/>
    <w:uiPriority w:val="9"/>
    <w:semiHidden/>
    <w:rPr>
      <w:rFonts w:asciiTheme="majorHAnsi" w:hAnsiTheme="majorHAnsi" w:eastAsiaTheme="majorEastAsia" w:cstheme="majorBidi"/>
      <w:color w:val="1f4d78" w:themeColor="accent1" w:themeShade="7F"/>
      <w:sz w:val="24"/>
      <w:szCs w:val="24"/>
      <w:lang w:val="uk-UA"/>
    </w:rPr>
  </w:style>
  <w:style w:type="character" w:styleId="706" w:customStyle="1">
    <w:name w:val="Заголовок 4 Знак"/>
    <w:basedOn w:val="670"/>
    <w:link w:val="669"/>
    <w:uiPriority w:val="9"/>
    <w:semiHidden/>
    <w:rPr>
      <w:rFonts w:asciiTheme="majorHAnsi" w:hAnsiTheme="majorHAnsi" w:eastAsiaTheme="majorEastAsia" w:cstheme="majorBidi"/>
      <w:i/>
      <w:iCs/>
      <w:color w:val="2e74b5" w:themeColor="accent1" w:themeShade="BF"/>
      <w:lang w:val="uk-UA"/>
    </w:rPr>
  </w:style>
  <w:style w:type="paragraph" w:styleId="707" w:customStyle="1">
    <w:name w:val="name-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8" w:customStyle="1">
    <w:name w:val="cont-spec"/>
    <w:basedOn w:val="666"/>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9">
    <w:name w:val="Strong"/>
    <w:basedOn w:val="670"/>
    <w:uiPriority w:val="22"/>
    <w:qFormat/>
    <w:rPr>
      <w:b/>
      <w:bCs/>
    </w:rPr>
  </w:style>
  <w:style w:type="paragraph" w:styleId="710" w:customStyle="1">
    <w:name w:val="rvps6"/>
    <w:basedOn w:val="666"/>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11"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172</cp:revision>
  <dcterms:created xsi:type="dcterms:W3CDTF">2022-11-01T12:47:00Z</dcterms:created>
  <dcterms:modified xsi:type="dcterms:W3CDTF">2024-08-19T13:40:39Z</dcterms:modified>
</cp:coreProperties>
</file>