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87"/>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об’ємних літер (зі встановленням) за ДК 021:2015: 39290000-1 Фурнітура різна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18</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4026</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lang w:eastAsia="uk-UA"/>
        </w:rPr>
        <w:t xml:space="preserve">Закупівля об’ємних літер (зі встановленням)</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sz w:val="24"/>
          <w:szCs w:val="24"/>
        </w:rPr>
        <w:br/>
      </w:r>
      <w:r>
        <w:rPr>
          <w:rFonts w:ascii="Times New Roman" w:hAnsi="Times New Roman" w:cs="Times New Roman"/>
          <w:b/>
          <w:color w:val="000000"/>
          <w:sz w:val="24"/>
          <w:szCs w:val="24"/>
        </w:rPr>
        <w:t xml:space="preserve">ТЕХНІЧНІ ВИМОГИ</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Style w:val="693"/>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695"/>
              <w:jc w:val="center"/>
              <w:rPr>
                <w:b/>
                <w:bCs/>
              </w:rPr>
            </w:pPr>
            <w:r>
              <w:rPr>
                <w:b/>
                <w:bCs/>
              </w:rPr>
              <w:t xml:space="preserve">№ п/п</w:t>
            </w:r>
            <w:r/>
          </w:p>
        </w:tc>
        <w:tc>
          <w:tcPr>
            <w:tcW w:w="5670" w:type="dxa"/>
            <w:textDirection w:val="lrTb"/>
            <w:noWrap w:val="false"/>
          </w:tcPr>
          <w:p>
            <w:pPr>
              <w:pStyle w:val="695"/>
              <w:jc w:val="center"/>
              <w:rPr>
                <w:b/>
                <w:bCs/>
              </w:rPr>
            </w:pPr>
            <w:r>
              <w:rPr>
                <w:b/>
                <w:bCs/>
              </w:rPr>
              <w:t xml:space="preserve">Назва системи</w:t>
            </w:r>
            <w:r/>
          </w:p>
        </w:tc>
        <w:tc>
          <w:tcPr>
            <w:tcW w:w="1701" w:type="dxa"/>
            <w:textDirection w:val="lrTb"/>
            <w:noWrap w:val="false"/>
          </w:tcPr>
          <w:p>
            <w:pPr>
              <w:pStyle w:val="695"/>
              <w:jc w:val="center"/>
              <w:rPr>
                <w:b/>
                <w:bCs/>
              </w:rPr>
            </w:pPr>
            <w:r>
              <w:rPr>
                <w:b/>
                <w:bCs/>
              </w:rPr>
              <w:t xml:space="preserve">Одиниця виміру</w:t>
            </w:r>
            <w:r/>
          </w:p>
        </w:tc>
        <w:tc>
          <w:tcPr>
            <w:tcW w:w="1701" w:type="dxa"/>
            <w:textDirection w:val="lrTb"/>
            <w:noWrap w:val="false"/>
          </w:tcPr>
          <w:p>
            <w:pPr>
              <w:pStyle w:val="695"/>
              <w:jc w:val="center"/>
              <w:rPr>
                <w:b/>
                <w:bCs/>
              </w:rPr>
            </w:pPr>
            <w:r>
              <w:rPr>
                <w:b/>
                <w:bCs/>
              </w:rPr>
              <w:t xml:space="preserve">Кількість</w:t>
            </w:r>
            <w:r/>
          </w:p>
        </w:tc>
      </w:tr>
      <w:tr>
        <w:trPr/>
        <w:tc>
          <w:tcPr>
            <w:tcW w:w="562" w:type="dxa"/>
            <w:vAlign w:val="center"/>
            <w:textDirection w:val="lrTb"/>
            <w:noWrap w:val="false"/>
          </w:tcPr>
          <w:p>
            <w:pPr>
              <w:pStyle w:val="695"/>
              <w:jc w:val="center"/>
            </w:pPr>
            <w:r>
              <w:rPr>
                <w:b/>
                <w:bCs/>
              </w:rPr>
              <w:t xml:space="preserve">1</w:t>
            </w:r>
            <w:r/>
          </w:p>
        </w:tc>
        <w:tc>
          <w:tcPr>
            <w:tcW w:w="5670" w:type="dxa"/>
            <w:textDirection w:val="lrTb"/>
            <w:noWrap w:val="false"/>
          </w:tcPr>
          <w:p>
            <w:pPr>
              <w:pStyle w:val="695"/>
              <w:rPr>
                <w:b/>
                <w:bCs/>
              </w:rPr>
            </w:pPr>
            <w:r>
              <w:rPr>
                <w:b/>
                <w:bCs/>
                <w:shd w:val="clear" w:color="auto" w:fill="ffffff"/>
              </w:rPr>
              <w:t xml:space="preserve">Об'ємні літери на стіну згідно</w:t>
            </w:r>
            <w:r>
              <w:rPr>
                <w:b/>
                <w:bCs/>
              </w:rPr>
              <w:br/>
            </w:r>
            <w:r>
              <w:rPr>
                <w:b/>
                <w:bCs/>
                <w:shd w:val="clear" w:color="auto" w:fill="ffffff"/>
              </w:rPr>
              <w:t xml:space="preserve">ТЗ та специфікації, не світові,</w:t>
            </w:r>
            <w:r>
              <w:rPr>
                <w:b/>
                <w:bCs/>
              </w:rPr>
              <w:br/>
            </w:r>
            <w:r>
              <w:rPr>
                <w:b/>
                <w:bCs/>
                <w:shd w:val="clear" w:color="auto" w:fill="ffffff"/>
              </w:rPr>
              <w:t xml:space="preserve">об'єм 16 м</w:t>
            </w:r>
            <w:r/>
          </w:p>
        </w:tc>
        <w:tc>
          <w:tcPr>
            <w:tcW w:w="1701" w:type="dxa"/>
            <w:vAlign w:val="center"/>
            <w:textDirection w:val="lrTb"/>
            <w:noWrap w:val="false"/>
          </w:tcPr>
          <w:p>
            <w:pPr>
              <w:pStyle w:val="695"/>
              <w:jc w:val="center"/>
            </w:pPr>
            <w:r>
              <w:rPr>
                <w:b/>
                <w:bCs/>
              </w:rPr>
              <w:t xml:space="preserve">комп.</w:t>
            </w:r>
            <w:r/>
          </w:p>
        </w:tc>
        <w:tc>
          <w:tcPr>
            <w:tcW w:w="1701" w:type="dxa"/>
            <w:vAlign w:val="center"/>
            <w:textDirection w:val="lrTb"/>
            <w:noWrap w:val="false"/>
          </w:tcPr>
          <w:p>
            <w:pPr>
              <w:pStyle w:val="695"/>
              <w:jc w:val="center"/>
            </w:pPr>
            <w:r>
              <w:rPr>
                <w:b/>
                <w:bCs/>
              </w:rPr>
              <w:t xml:space="preserve">1</w:t>
            </w:r>
            <w:r/>
          </w:p>
        </w:tc>
      </w:tr>
    </w:tbl>
    <w:p>
      <w:pPr>
        <w:jc w:val="bot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У ціну мають бути включені прямі, загальновиробничі та адмін</w:t>
      </w:r>
      <w:r>
        <w:rPr>
          <w:rFonts w:ascii="Times New Roman" w:hAnsi="Times New Roman" w:cs="Times New Roman"/>
          <w:b/>
          <w:bCs/>
          <w:i/>
          <w:iCs/>
          <w:sz w:val="24"/>
          <w:szCs w:val="24"/>
        </w:rPr>
        <w:t xml:space="preserve">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w:t>
      </w:r>
      <w:r>
        <w:rPr>
          <w:rFonts w:ascii="Times New Roman" w:hAnsi="Times New Roman" w:cs="Times New Roman"/>
          <w:b/>
          <w:bCs/>
          <w:i/>
          <w:iCs/>
          <w:sz w:val="24"/>
          <w:szCs w:val="24"/>
        </w:rPr>
        <w:t xml:space="preserve">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w:t>
      </w:r>
      <w:r>
        <w:rPr>
          <w:rFonts w:ascii="Times New Roman" w:hAnsi="Times New Roman" w:cs="Times New Roman"/>
          <w:b/>
          <w:bCs/>
          <w:i/>
          <w:iCs/>
          <w:sz w:val="24"/>
          <w:szCs w:val="24"/>
        </w:rPr>
        <w:t xml:space="preserve"> вартість, інші витрати, необхідні для виконання проєкту Договору до моменту його повного завершення. Доставка, розвантаження, монтаж, пусконалагоджування, проведення первинного технічного огляду, кінцева перевірка необхідні для виконання проєкту Договору.</w:t>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 Учасник у складі тендерної пропозиції надає гарантійний</w:t>
      </w:r>
      <w:r>
        <w:rPr>
          <w:rFonts w:ascii="Times New Roman" w:hAnsi="Times New Roman" w:cs="Times New Roman"/>
          <w:sz w:val="24"/>
          <w:szCs w:val="24"/>
          <w:lang w:eastAsia="uk-UA"/>
        </w:rPr>
        <w:t xml:space="preserve"> лист довільної форми, що встановлення, пусконалагоджування та первинна перевірка будуть виконані Учасником без затрат зі сторони Замовника. Також Учаснику необхідно передбачити витратні матеріали та кріпильні деталі, що необхідні для встановлення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  Учасник у складі тендерної пропозиції надає гарантійний лист довільної форми, що несе всі витрати самостійно, пов’язані із встановленням Товару на висоті. </w:t>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w:t>
      </w:r>
      <w:r>
        <w:rPr>
          <w:rFonts w:ascii="Times New Roman" w:hAnsi="Times New Roman" w:cs="Times New Roman"/>
          <w:bCs/>
          <w:iCs/>
          <w:sz w:val="24"/>
          <w:szCs w:val="24"/>
        </w:rPr>
        <w:t xml:space="preserve">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pStyle w:val="691"/>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691"/>
        <w:ind w:left="426"/>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Об'ємні літери на стіну згідно ТЗ та специфікації, не світові, об'єм 16 мм</w:t>
      </w:r>
      <w:r/>
    </w:p>
    <w:p>
      <w:pPr>
        <w:spacing w:after="0" w:line="240" w:lineRule="auto"/>
        <w:rPr>
          <w:rFonts w:ascii="Times New Roman" w:hAnsi="Times New Roman" w:cs="Times New Roman"/>
          <w:sz w:val="24"/>
          <w:szCs w:val="24"/>
        </w:rPr>
      </w:pPr>
      <w:r>
        <w:rPr>
          <w:rFonts w:ascii="Times New Roman" w:hAnsi="Times New Roman" w:cs="Times New Roman"/>
          <w:b/>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-575945</wp:posOffset>
                </wp:positionH>
                <wp:positionV relativeFrom="paragraph">
                  <wp:posOffset>189865</wp:posOffset>
                </wp:positionV>
                <wp:extent cx="3585595" cy="3420804"/>
                <wp:effectExtent l="0" t="0" r="0" b="8255"/>
                <wp:wrapNone/>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1"/>
                        <a:stretch/>
                      </pic:blipFill>
                      <pic:spPr bwMode="auto">
                        <a:xfrm>
                          <a:off x="0" y="0"/>
                          <a:ext cx="3585595" cy="3420804"/>
                        </a:xfrm>
                        <a:prstGeom prst="rect">
                          <a:avLst/>
                        </a:prstGeom>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45.3pt;mso-position-horizontal:absolute;mso-position-vertical-relative:text;margin-top:14.9pt;mso-position-vertical:absolute;width:282.3pt;height:269.4pt;mso-wrap-distance-left:9.0pt;mso-wrap-distance-top:0.0pt;mso-wrap-distance-right:9.0pt;mso-wrap-distance-bottom:0.0pt;" stroked="false">
                <v:path textboxrect="0,0,0,0"/>
                <v:imagedata r:id="rId11" o:title=""/>
              </v:shape>
            </w:pict>
          </mc:Fallback>
        </mc:AlternateContent>
      </w:r>
      <w:r>
        <w:rPr>
          <w:rFonts w:ascii="Times New Roman" w:hAnsi="Times New Roman" w:cs="Times New Roman"/>
          <w:sz w:val="24"/>
          <w:szCs w:val="24"/>
        </w:rPr>
        <w:t xml:space="preserve">Схематичне зображення:</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b/>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1" locked="0" layoutInCell="1" allowOverlap="1">
                <wp:simplePos x="0" y="0"/>
                <wp:positionH relativeFrom="column">
                  <wp:posOffset>3063240</wp:posOffset>
                </wp:positionH>
                <wp:positionV relativeFrom="paragraph">
                  <wp:posOffset>74295</wp:posOffset>
                </wp:positionV>
                <wp:extent cx="3428736" cy="2171700"/>
                <wp:effectExtent l="0" t="0" r="635" b="0"/>
                <wp:wrapNone/>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2"/>
                        <a:stretch/>
                      </pic:blipFill>
                      <pic:spPr bwMode="auto">
                        <a:xfrm>
                          <a:off x="0" y="0"/>
                          <a:ext cx="3428736" cy="21717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60288;o:allowoverlap:true;o:allowincell:true;mso-position-horizontal-relative:text;margin-left:241.2pt;mso-position-horizontal:absolute;mso-position-vertical-relative:text;margin-top:5.8pt;mso-position-vertical:absolute;width:270.0pt;height:171.0pt;mso-wrap-distance-left:9.0pt;mso-wrap-distance-top:0.0pt;mso-wrap-distance-right:9.0pt;mso-wrap-distance-bottom:0.0pt;" stroked="false">
                <v:path textboxrect="0,0,0,0"/>
                <v:imagedata r:id="rId12" o:title=""/>
              </v:shape>
            </w:pict>
          </mc:Fallback>
        </mc:AlternateConten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contextualSpacing/>
        <w:jc w:val="both"/>
        <w:spacing w:after="0" w:line="240" w:lineRule="auto"/>
        <w:tabs>
          <w:tab w:val="left" w:pos="6765" w:leader="none"/>
        </w:tabs>
        <w:rPr>
          <w:rFonts w:ascii="Times New Roman" w:hAnsi="Times New Roman" w:cs="Times New Roman"/>
          <w:sz w:val="24"/>
          <w:szCs w:val="24"/>
        </w:rPr>
      </w:pPr>
      <w:r>
        <w:rPr>
          <w:rFonts w:ascii="Times New Roman" w:hAnsi="Times New Roman" w:cs="Times New Roman"/>
          <w:sz w:val="24"/>
          <w:szCs w:val="24"/>
        </w:rPr>
        <w:t xml:space="preserve">Емблема Міністерства  внутрішніх справ України - восьмикутна зірка у вигляді 48 розбіжних променів, пофарбована в білий колір та додатково обклеюється плівкою Oracal641: 021, 072, 076, 542.</w:t>
      </w:r>
      <w:r/>
    </w:p>
    <w:p>
      <w:pPr>
        <w:contextualSpacing/>
        <w:spacing w:after="0" w:line="240" w:lineRule="auto"/>
        <w:tabs>
          <w:tab w:val="left" w:pos="6765" w:leader="none"/>
        </w:tabs>
        <w:rPr>
          <w:rFonts w:ascii="Times New Roman" w:hAnsi="Times New Roman" w:cs="Times New Roman"/>
          <w:sz w:val="24"/>
          <w:szCs w:val="24"/>
        </w:rPr>
      </w:pPr>
      <w:r>
        <w:rPr>
          <w:rFonts w:ascii="Times New Roman" w:hAnsi="Times New Roman" w:cs="Times New Roman"/>
          <w:sz w:val="24"/>
          <w:szCs w:val="24"/>
        </w:rPr>
        <w:t xml:space="preserve">Основа вивіски –МДФ,18мм, пофарбована - Фарба поліакрилова TechnoLux BAP90 Hs (колір RAL 9003), OPA 3620 матовий лак акриловий 20 (Колір Білий)</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357"/>
        <w:jc w:val="both"/>
        <w:spacing w:after="0" w:line="240" w:lineRule="auto"/>
        <w:rPr>
          <w:rFonts w:ascii="Times New Roman" w:hAnsi="Times New Roman" w:eastAsia="Times New Roman" w:cs="Times New Roman"/>
          <w:sz w:val="24"/>
          <w:szCs w:val="24"/>
          <w:lang w:eastAsia="ru-RU"/>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contextualSpacing/>
        <w:jc w:val="both"/>
        <w:shd w:val="clear" w:color="auto" w:fill="ffffff"/>
        <w:rPr>
          <w:sz w:val="24"/>
          <w:szCs w:val="24"/>
        </w:rPr>
      </w:pPr>
      <w:r>
        <w:rPr>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32 333</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тридцять дві</w:t>
      </w:r>
      <w:r>
        <w:rPr>
          <w:rFonts w:ascii="Times New Roman" w:hAnsi="Times New Roman" w:eastAsia="Times New Roman" w:cs="Times New Roman"/>
          <w:sz w:val="24"/>
          <w:szCs w:val="24"/>
          <w:lang w:eastAsia="ru-RU"/>
        </w:rPr>
        <w:t xml:space="preserve"> тисячі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триста тридцять три</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7"/>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080" w:hanging="360"/>
      </w:pPr>
      <w:rPr>
        <w:rFonts w:hint="default" w:ascii="Symbol" w:hAnsi="Symbol"/>
      </w:rPr>
    </w:lvl>
    <w:lvl w:ilvl="1">
      <w:start w:val="1"/>
      <w:numFmt w:val="bullet"/>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8">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9">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1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15"/>
  </w:num>
  <w:num w:numId="2">
    <w:abstractNumId w:val="11"/>
  </w:num>
  <w:num w:numId="3">
    <w:abstractNumId w:val="6"/>
  </w:num>
  <w:num w:numId="4">
    <w:abstractNumId w:val="13"/>
  </w:num>
  <w:num w:numId="5">
    <w:abstractNumId w:val="5"/>
  </w:num>
  <w:num w:numId="6">
    <w:abstractNumId w:val="16"/>
  </w:num>
  <w:num w:numId="7">
    <w:abstractNumId w:val="8"/>
  </w:num>
  <w:num w:numId="8">
    <w:abstractNumId w:val="18"/>
  </w:num>
  <w:num w:numId="9">
    <w:abstractNumId w:val="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7"/>
  </w:num>
  <w:num w:numId="17">
    <w:abstractNumId w:val="1"/>
  </w:num>
  <w:num w:numId="18">
    <w:abstractNumId w:val="19"/>
  </w:num>
  <w:num w:numId="19">
    <w:abstractNumId w:val="1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686"/>
    <w:next w:val="686"/>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688"/>
    <w:link w:val="12"/>
    <w:uiPriority w:val="9"/>
    <w:rPr>
      <w:rFonts w:ascii="Arial" w:hAnsi="Arial" w:eastAsia="Arial" w:cs="Arial"/>
      <w:sz w:val="40"/>
      <w:szCs w:val="40"/>
    </w:rPr>
  </w:style>
  <w:style w:type="character" w:styleId="15">
    <w:name w:val="Heading 2 Char"/>
    <w:basedOn w:val="688"/>
    <w:link w:val="687"/>
    <w:uiPriority w:val="9"/>
    <w:rPr>
      <w:rFonts w:ascii="Arial" w:hAnsi="Arial" w:eastAsia="Arial" w:cs="Arial"/>
      <w:sz w:val="34"/>
    </w:rPr>
  </w:style>
  <w:style w:type="paragraph" w:styleId="16">
    <w:name w:val="Heading 3"/>
    <w:basedOn w:val="686"/>
    <w:next w:val="686"/>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688"/>
    <w:link w:val="16"/>
    <w:uiPriority w:val="9"/>
    <w:rPr>
      <w:rFonts w:ascii="Arial" w:hAnsi="Arial" w:eastAsia="Arial" w:cs="Arial"/>
      <w:sz w:val="30"/>
      <w:szCs w:val="30"/>
    </w:rPr>
  </w:style>
  <w:style w:type="paragraph" w:styleId="18">
    <w:name w:val="Heading 4"/>
    <w:basedOn w:val="686"/>
    <w:next w:val="686"/>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688"/>
    <w:link w:val="18"/>
    <w:uiPriority w:val="9"/>
    <w:rPr>
      <w:rFonts w:ascii="Arial" w:hAnsi="Arial" w:eastAsia="Arial" w:cs="Arial"/>
      <w:b/>
      <w:bCs/>
      <w:sz w:val="26"/>
      <w:szCs w:val="26"/>
    </w:rPr>
  </w:style>
  <w:style w:type="paragraph" w:styleId="20">
    <w:name w:val="Heading 5"/>
    <w:basedOn w:val="686"/>
    <w:next w:val="686"/>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88"/>
    <w:link w:val="20"/>
    <w:uiPriority w:val="9"/>
    <w:rPr>
      <w:rFonts w:ascii="Arial" w:hAnsi="Arial" w:eastAsia="Arial" w:cs="Arial"/>
      <w:b/>
      <w:bCs/>
      <w:sz w:val="24"/>
      <w:szCs w:val="24"/>
    </w:rPr>
  </w:style>
  <w:style w:type="paragraph" w:styleId="22">
    <w:name w:val="Heading 6"/>
    <w:basedOn w:val="686"/>
    <w:next w:val="686"/>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88"/>
    <w:link w:val="22"/>
    <w:uiPriority w:val="9"/>
    <w:rPr>
      <w:rFonts w:ascii="Arial" w:hAnsi="Arial" w:eastAsia="Arial" w:cs="Arial"/>
      <w:b/>
      <w:bCs/>
      <w:sz w:val="22"/>
      <w:szCs w:val="22"/>
    </w:rPr>
  </w:style>
  <w:style w:type="paragraph" w:styleId="24">
    <w:name w:val="Heading 7"/>
    <w:basedOn w:val="686"/>
    <w:next w:val="686"/>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88"/>
    <w:link w:val="24"/>
    <w:uiPriority w:val="9"/>
    <w:rPr>
      <w:rFonts w:ascii="Arial" w:hAnsi="Arial" w:eastAsia="Arial" w:cs="Arial"/>
      <w:b/>
      <w:bCs/>
      <w:i/>
      <w:iCs/>
      <w:sz w:val="22"/>
      <w:szCs w:val="22"/>
    </w:rPr>
  </w:style>
  <w:style w:type="paragraph" w:styleId="26">
    <w:name w:val="Heading 8"/>
    <w:basedOn w:val="686"/>
    <w:next w:val="686"/>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88"/>
    <w:link w:val="26"/>
    <w:uiPriority w:val="9"/>
    <w:rPr>
      <w:rFonts w:ascii="Arial" w:hAnsi="Arial" w:eastAsia="Arial" w:cs="Arial"/>
      <w:i/>
      <w:iCs/>
      <w:sz w:val="22"/>
      <w:szCs w:val="22"/>
    </w:rPr>
  </w:style>
  <w:style w:type="paragraph" w:styleId="28">
    <w:name w:val="Heading 9"/>
    <w:basedOn w:val="686"/>
    <w:next w:val="686"/>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88"/>
    <w:link w:val="28"/>
    <w:uiPriority w:val="9"/>
    <w:rPr>
      <w:rFonts w:ascii="Arial" w:hAnsi="Arial" w:eastAsia="Arial" w:cs="Arial"/>
      <w:i/>
      <w:iCs/>
      <w:sz w:val="21"/>
      <w:szCs w:val="21"/>
    </w:rPr>
  </w:style>
  <w:style w:type="paragraph" w:styleId="33">
    <w:name w:val="Title"/>
    <w:basedOn w:val="686"/>
    <w:next w:val="686"/>
    <w:link w:val="34"/>
    <w:uiPriority w:val="10"/>
    <w:qFormat/>
    <w:pPr>
      <w:contextualSpacing/>
      <w:spacing w:before="300" w:after="200"/>
    </w:pPr>
    <w:rPr>
      <w:sz w:val="48"/>
      <w:szCs w:val="48"/>
    </w:rPr>
  </w:style>
  <w:style w:type="character" w:styleId="34">
    <w:name w:val="Title Char"/>
    <w:basedOn w:val="688"/>
    <w:link w:val="33"/>
    <w:uiPriority w:val="10"/>
    <w:rPr>
      <w:sz w:val="48"/>
      <w:szCs w:val="48"/>
    </w:rPr>
  </w:style>
  <w:style w:type="paragraph" w:styleId="35">
    <w:name w:val="Subtitle"/>
    <w:basedOn w:val="686"/>
    <w:next w:val="686"/>
    <w:link w:val="36"/>
    <w:uiPriority w:val="11"/>
    <w:qFormat/>
    <w:pPr>
      <w:spacing w:before="200" w:after="200"/>
    </w:pPr>
    <w:rPr>
      <w:sz w:val="24"/>
      <w:szCs w:val="24"/>
    </w:rPr>
  </w:style>
  <w:style w:type="character" w:styleId="36">
    <w:name w:val="Subtitle Char"/>
    <w:basedOn w:val="688"/>
    <w:link w:val="35"/>
    <w:uiPriority w:val="11"/>
    <w:rPr>
      <w:sz w:val="24"/>
      <w:szCs w:val="24"/>
    </w:rPr>
  </w:style>
  <w:style w:type="paragraph" w:styleId="37">
    <w:name w:val="Quote"/>
    <w:basedOn w:val="686"/>
    <w:next w:val="686"/>
    <w:link w:val="38"/>
    <w:uiPriority w:val="29"/>
    <w:qFormat/>
    <w:pPr>
      <w:ind w:left="720" w:right="720"/>
    </w:pPr>
    <w:rPr>
      <w:i/>
    </w:rPr>
  </w:style>
  <w:style w:type="character" w:styleId="38">
    <w:name w:val="Quote Char"/>
    <w:link w:val="37"/>
    <w:uiPriority w:val="29"/>
    <w:rPr>
      <w:i/>
    </w:rPr>
  </w:style>
  <w:style w:type="paragraph" w:styleId="39">
    <w:name w:val="Intense Quote"/>
    <w:basedOn w:val="686"/>
    <w:next w:val="686"/>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686"/>
    <w:link w:val="42"/>
    <w:uiPriority w:val="99"/>
    <w:unhideWhenUsed/>
    <w:pPr>
      <w:spacing w:after="0" w:line="240" w:lineRule="auto"/>
      <w:tabs>
        <w:tab w:val="center" w:pos="7143" w:leader="none"/>
        <w:tab w:val="right" w:pos="14287" w:leader="none"/>
      </w:tabs>
    </w:pPr>
  </w:style>
  <w:style w:type="character" w:styleId="42">
    <w:name w:val="Header Char"/>
    <w:basedOn w:val="688"/>
    <w:link w:val="41"/>
    <w:uiPriority w:val="99"/>
  </w:style>
  <w:style w:type="character" w:styleId="44">
    <w:name w:val="Footer Char"/>
    <w:basedOn w:val="688"/>
    <w:link w:val="697"/>
    <w:uiPriority w:val="99"/>
  </w:style>
  <w:style w:type="paragraph" w:styleId="45">
    <w:name w:val="Caption"/>
    <w:basedOn w:val="686"/>
    <w:next w:val="686"/>
    <w:uiPriority w:val="35"/>
    <w:semiHidden/>
    <w:unhideWhenUsed/>
    <w:qFormat/>
    <w:pPr>
      <w:spacing w:line="276" w:lineRule="auto"/>
    </w:pPr>
    <w:rPr>
      <w:b/>
      <w:bCs/>
      <w:color w:val="4f81bd" w:themeColor="accent1"/>
      <w:sz w:val="18"/>
      <w:szCs w:val="18"/>
    </w:rPr>
  </w:style>
  <w:style w:type="character" w:styleId="46">
    <w:name w:val="Caption Char"/>
    <w:basedOn w:val="45"/>
    <w:link w:val="697"/>
    <w:uiPriority w:val="99"/>
  </w:style>
  <w:style w:type="table" w:styleId="48">
    <w:name w:val="Table Grid Light"/>
    <w:basedOn w:val="68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8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8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8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8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8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8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8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8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8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8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8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8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8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8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8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8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8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8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8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8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8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8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8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8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8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8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8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8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8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8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8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8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8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8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8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8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8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8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8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8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8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8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8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8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8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8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8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8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8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8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8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8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8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8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8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8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8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8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8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8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8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8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8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8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8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8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8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8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8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8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8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8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8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8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8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8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8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8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8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8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8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8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8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8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8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8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8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8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8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8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8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8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8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8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8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8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8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8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8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8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8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8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8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8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8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8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8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8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8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8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86"/>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88"/>
    <w:uiPriority w:val="99"/>
    <w:unhideWhenUsed/>
    <w:rPr>
      <w:vertAlign w:val="superscript"/>
    </w:rPr>
  </w:style>
  <w:style w:type="paragraph" w:styleId="177">
    <w:name w:val="endnote text"/>
    <w:basedOn w:val="686"/>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88"/>
    <w:uiPriority w:val="99"/>
    <w:semiHidden/>
    <w:unhideWhenUsed/>
    <w:rPr>
      <w:vertAlign w:val="superscript"/>
    </w:rPr>
  </w:style>
  <w:style w:type="paragraph" w:styleId="180">
    <w:name w:val="toc 1"/>
    <w:basedOn w:val="686"/>
    <w:next w:val="686"/>
    <w:uiPriority w:val="39"/>
    <w:unhideWhenUsed/>
    <w:pPr>
      <w:ind w:left="0" w:right="0" w:firstLine="0"/>
      <w:spacing w:after="57"/>
    </w:pPr>
  </w:style>
  <w:style w:type="paragraph" w:styleId="181">
    <w:name w:val="toc 2"/>
    <w:basedOn w:val="686"/>
    <w:next w:val="686"/>
    <w:uiPriority w:val="39"/>
    <w:unhideWhenUsed/>
    <w:pPr>
      <w:ind w:left="283" w:right="0" w:firstLine="0"/>
      <w:spacing w:after="57"/>
    </w:pPr>
  </w:style>
  <w:style w:type="paragraph" w:styleId="182">
    <w:name w:val="toc 3"/>
    <w:basedOn w:val="686"/>
    <w:next w:val="686"/>
    <w:uiPriority w:val="39"/>
    <w:unhideWhenUsed/>
    <w:pPr>
      <w:ind w:left="567" w:right="0" w:firstLine="0"/>
      <w:spacing w:after="57"/>
    </w:pPr>
  </w:style>
  <w:style w:type="paragraph" w:styleId="183">
    <w:name w:val="toc 4"/>
    <w:basedOn w:val="686"/>
    <w:next w:val="686"/>
    <w:uiPriority w:val="39"/>
    <w:unhideWhenUsed/>
    <w:pPr>
      <w:ind w:left="850" w:right="0" w:firstLine="0"/>
      <w:spacing w:after="57"/>
    </w:pPr>
  </w:style>
  <w:style w:type="paragraph" w:styleId="184">
    <w:name w:val="toc 5"/>
    <w:basedOn w:val="686"/>
    <w:next w:val="686"/>
    <w:uiPriority w:val="39"/>
    <w:unhideWhenUsed/>
    <w:pPr>
      <w:ind w:left="1134" w:right="0" w:firstLine="0"/>
      <w:spacing w:after="57"/>
    </w:pPr>
  </w:style>
  <w:style w:type="paragraph" w:styleId="185">
    <w:name w:val="toc 6"/>
    <w:basedOn w:val="686"/>
    <w:next w:val="686"/>
    <w:uiPriority w:val="39"/>
    <w:unhideWhenUsed/>
    <w:pPr>
      <w:ind w:left="1417" w:right="0" w:firstLine="0"/>
      <w:spacing w:after="57"/>
    </w:pPr>
  </w:style>
  <w:style w:type="paragraph" w:styleId="186">
    <w:name w:val="toc 7"/>
    <w:basedOn w:val="686"/>
    <w:next w:val="686"/>
    <w:uiPriority w:val="39"/>
    <w:unhideWhenUsed/>
    <w:pPr>
      <w:ind w:left="1701" w:right="0" w:firstLine="0"/>
      <w:spacing w:after="57"/>
    </w:pPr>
  </w:style>
  <w:style w:type="paragraph" w:styleId="187">
    <w:name w:val="toc 8"/>
    <w:basedOn w:val="686"/>
    <w:next w:val="686"/>
    <w:uiPriority w:val="39"/>
    <w:unhideWhenUsed/>
    <w:pPr>
      <w:ind w:left="1984" w:right="0" w:firstLine="0"/>
      <w:spacing w:after="57"/>
    </w:pPr>
  </w:style>
  <w:style w:type="paragraph" w:styleId="188">
    <w:name w:val="toc 9"/>
    <w:basedOn w:val="686"/>
    <w:next w:val="686"/>
    <w:uiPriority w:val="39"/>
    <w:unhideWhenUsed/>
    <w:pPr>
      <w:ind w:left="2268" w:right="0" w:firstLine="0"/>
      <w:spacing w:after="57"/>
    </w:pPr>
  </w:style>
  <w:style w:type="paragraph" w:styleId="189">
    <w:name w:val="TOC Heading"/>
    <w:uiPriority w:val="39"/>
    <w:unhideWhenUsed/>
  </w:style>
  <w:style w:type="paragraph" w:styleId="190">
    <w:name w:val="table of figures"/>
    <w:basedOn w:val="686"/>
    <w:next w:val="686"/>
    <w:uiPriority w:val="99"/>
    <w:unhideWhenUsed/>
    <w:pPr>
      <w:spacing w:after="0" w:afterAutospacing="0"/>
    </w:pPr>
  </w:style>
  <w:style w:type="paragraph" w:styleId="686" w:default="1">
    <w:name w:val="Normal"/>
    <w:qFormat/>
    <w:rPr>
      <w:lang w:val="uk-UA"/>
    </w:rPr>
  </w:style>
  <w:style w:type="paragraph" w:styleId="687">
    <w:name w:val="Heading 2"/>
    <w:basedOn w:val="686"/>
    <w:link w:val="706"/>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688" w:default="1">
    <w:name w:val="Default Paragraph Font"/>
    <w:uiPriority w:val="1"/>
    <w:semiHidden/>
    <w:unhideWhenUsed/>
  </w:style>
  <w:style w:type="table" w:styleId="689" w:default="1">
    <w:name w:val="Normal Table"/>
    <w:uiPriority w:val="99"/>
    <w:semiHidden/>
    <w:unhideWhenUsed/>
    <w:tblPr>
      <w:tblInd w:w="0" w:type="dxa"/>
      <w:tblCellMar>
        <w:left w:w="108" w:type="dxa"/>
        <w:top w:w="0" w:type="dxa"/>
        <w:right w:w="108" w:type="dxa"/>
        <w:bottom w:w="0" w:type="dxa"/>
      </w:tblCellMar>
    </w:tblPr>
  </w:style>
  <w:style w:type="numbering" w:styleId="690" w:default="1">
    <w:name w:val="No List"/>
    <w:uiPriority w:val="99"/>
    <w:semiHidden/>
    <w:unhideWhenUsed/>
  </w:style>
  <w:style w:type="paragraph" w:styleId="691">
    <w:name w:val="List Paragraph"/>
    <w:basedOn w:val="686"/>
    <w:link w:val="692"/>
    <w:uiPriority w:val="34"/>
    <w:qFormat/>
    <w:pPr>
      <w:contextualSpacing/>
      <w:ind w:left="720"/>
      <w:spacing w:after="200" w:line="276" w:lineRule="auto"/>
    </w:pPr>
    <w:rPr>
      <w:rFonts w:ascii="Calibri" w:hAnsi="Calibri" w:eastAsia="Calibri" w:cs="Calibri"/>
      <w:lang w:val="ru-RU" w:eastAsia="zh-CN"/>
    </w:rPr>
  </w:style>
  <w:style w:type="character" w:styleId="692" w:customStyle="1">
    <w:name w:val="Абзац списку Знак"/>
    <w:link w:val="691"/>
    <w:uiPriority w:val="34"/>
    <w:rPr>
      <w:rFonts w:ascii="Calibri" w:hAnsi="Calibri" w:eastAsia="Calibri" w:cs="Calibri"/>
      <w:lang w:eastAsia="zh-CN"/>
    </w:rPr>
  </w:style>
  <w:style w:type="table" w:styleId="693">
    <w:name w:val="Table Grid"/>
    <w:basedOn w:val="689"/>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94" w:customStyle="1">
    <w:name w:val="Сетка таблицы2"/>
    <w:basedOn w:val="689"/>
    <w:next w:val="693"/>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5">
    <w:name w:val="Normal (Web)"/>
    <w:basedOn w:val="686"/>
    <w:link w:val="702"/>
    <w:unhideWhenUsed/>
    <w:qFormat/>
    <w:rPr>
      <w:rFonts w:ascii="Times New Roman" w:hAnsi="Times New Roman" w:cs="Times New Roman"/>
      <w:sz w:val="24"/>
      <w:szCs w:val="24"/>
    </w:rPr>
  </w:style>
  <w:style w:type="table" w:styleId="696" w:customStyle="1">
    <w:name w:val="Сетка таблицы1"/>
    <w:basedOn w:val="689"/>
    <w:next w:val="693"/>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7">
    <w:name w:val="Footer"/>
    <w:basedOn w:val="686"/>
    <w:link w:val="698"/>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98" w:customStyle="1">
    <w:name w:val="Нижній колонтитул Знак"/>
    <w:basedOn w:val="688"/>
    <w:link w:val="697"/>
    <w:uiPriority w:val="99"/>
    <w:rPr>
      <w:rFonts w:ascii="Calibri" w:hAnsi="Calibri" w:eastAsia="Calibri" w:cs="Calibri"/>
      <w:lang w:eastAsia="zh-CN"/>
    </w:rPr>
  </w:style>
  <w:style w:type="paragraph" w:styleId="699"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00">
    <w:name w:val="Hyperlink"/>
    <w:basedOn w:val="688"/>
    <w:uiPriority w:val="99"/>
    <w:unhideWhenUsed/>
    <w:rPr>
      <w:color w:val="0563c1" w:themeColor="hyperlink"/>
      <w:u w:val="single"/>
    </w:rPr>
  </w:style>
  <w:style w:type="character" w:styleId="701" w:customStyle="1">
    <w:name w:val="xfm_93972720"/>
    <w:basedOn w:val="688"/>
  </w:style>
  <w:style w:type="character" w:styleId="702" w:customStyle="1">
    <w:name w:val="Звичайний (веб) Знак"/>
    <w:link w:val="695"/>
    <w:qFormat/>
    <w:rPr>
      <w:rFonts w:ascii="Times New Roman" w:hAnsi="Times New Roman" w:cs="Times New Roman"/>
      <w:sz w:val="24"/>
      <w:szCs w:val="24"/>
      <w:lang w:val="uk-UA"/>
    </w:rPr>
  </w:style>
  <w:style w:type="paragraph" w:styleId="703">
    <w:name w:val="Body Text 2"/>
    <w:basedOn w:val="686"/>
    <w:link w:val="704"/>
    <w:pPr>
      <w:spacing w:after="0" w:line="240" w:lineRule="auto"/>
    </w:pPr>
    <w:rPr>
      <w:rFonts w:ascii="Times New Roman" w:hAnsi="Times New Roman" w:eastAsia="Times New Roman" w:cs="Times New Roman"/>
      <w:sz w:val="28"/>
      <w:szCs w:val="20"/>
      <w:lang w:val="ru-RU" w:eastAsia="ru-RU"/>
    </w:rPr>
  </w:style>
  <w:style w:type="character" w:styleId="704" w:customStyle="1">
    <w:name w:val="Основний текст 2 Знак"/>
    <w:basedOn w:val="688"/>
    <w:link w:val="703"/>
    <w:rPr>
      <w:rFonts w:ascii="Times New Roman" w:hAnsi="Times New Roman" w:eastAsia="Times New Roman" w:cs="Times New Roman"/>
      <w:sz w:val="28"/>
      <w:szCs w:val="20"/>
      <w:lang w:eastAsia="ru-RU"/>
    </w:rPr>
  </w:style>
  <w:style w:type="paragraph" w:styleId="705"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06" w:customStyle="1">
    <w:name w:val="Заголовок 2 Знак"/>
    <w:basedOn w:val="688"/>
    <w:link w:val="687"/>
    <w:uiPriority w:val="9"/>
    <w:rPr>
      <w:rFonts w:ascii="Times New Roman" w:hAnsi="Times New Roman" w:eastAsia="Times New Roman" w:cs="Times New Roman"/>
      <w:b/>
      <w:bCs/>
      <w:sz w:val="36"/>
      <w:szCs w:val="36"/>
      <w:lang w:val="uk-UA" w:eastAsia="uk-UA"/>
    </w:rPr>
  </w:style>
  <w:style w:type="paragraph" w:styleId="707">
    <w:name w:val="No Spacing"/>
    <w:link w:val="708"/>
    <w:uiPriority w:val="1"/>
    <w:qFormat/>
    <w:pPr>
      <w:spacing w:after="0" w:line="240" w:lineRule="auto"/>
    </w:pPr>
    <w:rPr>
      <w:rFonts w:ascii="Calibri" w:hAnsi="Calibri" w:eastAsia="Calibri" w:cs="Times New Roman"/>
      <w:lang w:val="uk-UA"/>
    </w:rPr>
  </w:style>
  <w:style w:type="character" w:styleId="708" w:customStyle="1">
    <w:name w:val="Без інтервалів Знак"/>
    <w:basedOn w:val="688"/>
    <w:link w:val="707"/>
    <w:uiPriority w:val="1"/>
    <w:rPr>
      <w:rFonts w:ascii="Calibri" w:hAnsi="Calibri" w:eastAsia="Calibri" w:cs="Times New Roman"/>
      <w:lang w:val="uk-UA"/>
    </w:rPr>
  </w:style>
  <w:style w:type="character" w:styleId="709" w:customStyle="1">
    <w:name w:val="Другое_"/>
    <w:basedOn w:val="688"/>
    <w:link w:val="710"/>
    <w:rPr>
      <w:rFonts w:ascii="Calibri" w:hAnsi="Calibri" w:eastAsia="Calibri" w:cs="Calibri"/>
      <w:sz w:val="20"/>
      <w:szCs w:val="20"/>
    </w:rPr>
  </w:style>
  <w:style w:type="paragraph" w:styleId="710" w:customStyle="1">
    <w:name w:val="Другое"/>
    <w:basedOn w:val="686"/>
    <w:link w:val="709"/>
    <w:pPr>
      <w:spacing w:after="0" w:line="240" w:lineRule="auto"/>
      <w:widowControl w:val="off"/>
    </w:pPr>
    <w:rPr>
      <w:rFonts w:ascii="Calibri" w:hAnsi="Calibri" w:eastAsia="Calibri" w:cs="Calibri"/>
      <w:sz w:val="20"/>
      <w:szCs w:val="20"/>
      <w:lang w:val="ru-RU"/>
    </w:rPr>
  </w:style>
  <w:style w:type="paragraph" w:styleId="711"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12" w:customStyle="1">
    <w:name w:val="Основной текст (2)_"/>
    <w:basedOn w:val="688"/>
    <w:link w:val="713"/>
    <w:rPr>
      <w:rFonts w:eastAsia="Times New Roman" w:cs="Times New Roman"/>
      <w:shd w:val="clear" w:color="auto" w:fill="ffffff"/>
    </w:rPr>
  </w:style>
  <w:style w:type="paragraph" w:styleId="713" w:customStyle="1">
    <w:name w:val="Основной текст (2)"/>
    <w:basedOn w:val="686"/>
    <w:link w:val="712"/>
    <w:pPr>
      <w:ind w:hanging="700"/>
      <w:jc w:val="both"/>
      <w:spacing w:before="240" w:after="480" w:line="0" w:lineRule="atLeast"/>
      <w:shd w:val="clear" w:color="auto" w:fill="ffffff"/>
      <w:widowControl w:val="off"/>
    </w:pPr>
    <w:rPr>
      <w:rFonts w:eastAsia="Times New Roman" w:cs="Times New Roman"/>
      <w:lang w:val="ru-RU"/>
    </w:rPr>
  </w:style>
  <w:style w:type="character" w:styleId="714" w:customStyle="1">
    <w:name w:val="Текст у виносці Знак"/>
    <w:basedOn w:val="688"/>
    <w:link w:val="715"/>
    <w:uiPriority w:val="99"/>
    <w:semiHidden/>
    <w:rPr>
      <w:rFonts w:ascii="Segoe UI" w:hAnsi="Segoe UI" w:eastAsia="Times New Roman" w:cs="Segoe UI"/>
      <w:sz w:val="18"/>
      <w:szCs w:val="18"/>
      <w:lang w:eastAsia="ru-RU"/>
    </w:rPr>
  </w:style>
  <w:style w:type="paragraph" w:styleId="715">
    <w:name w:val="Balloon Text"/>
    <w:basedOn w:val="686"/>
    <w:link w:val="714"/>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16" w:customStyle="1">
    <w:name w:val="Текст у виносці Знак1"/>
    <w:basedOn w:val="688"/>
    <w:uiPriority w:val="99"/>
    <w:semiHidden/>
    <w:rPr>
      <w:rFonts w:ascii="Segoe UI" w:hAnsi="Segoe UI" w:cs="Segoe UI"/>
      <w:sz w:val="18"/>
      <w:szCs w:val="18"/>
      <w:lang w:val="uk-UA"/>
    </w:rPr>
  </w:style>
  <w:style w:type="character" w:styleId="717" w:customStyle="1">
    <w:name w:val="T23"/>
    <w:rPr>
      <w:rFonts w:hint="default" w:ascii="Times New Roman" w:hAnsi="Times New Roman" w:eastAsia="Times New Roman1" w:cs="Times New Roma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136</cp:revision>
  <dcterms:created xsi:type="dcterms:W3CDTF">2022-11-01T12:47:00Z</dcterms:created>
  <dcterms:modified xsi:type="dcterms:W3CDTF">2023-08-23T10:10:03Z</dcterms:modified>
</cp:coreProperties>
</file>