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офісної металевої шафи (архівна) із замком за ДК 021:2015: 44420000-0 Будівельні товари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1481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bookmarkStart w:id="0" w:name="_Hlk163736934"/>
      <w:r>
        <w:rPr>
          <w:rFonts w:ascii="Times New Roman" w:hAnsi="Times New Roman" w:cs="Times New Roman"/>
          <w:bCs/>
          <w:sz w:val="24"/>
          <w:szCs w:val="24"/>
        </w:rPr>
        <w:t xml:space="preserve">Закупівля офісної металевої шафи (архівна) із замком за ДК 021:2015: </w:t>
      </w:r>
      <w:bookmarkEnd w:id="0"/>
      <w:r>
        <w:rPr>
          <w:rFonts w:ascii="Times New Roman" w:hAnsi="Times New Roman" w:cs="Times New Roman"/>
          <w:bCs/>
          <w:sz w:val="24"/>
          <w:szCs w:val="24"/>
        </w:rPr>
        <w:t xml:space="preserve">44420000-0 Будівельні товари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6"/>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8"/>
              <w:jc w:val="center"/>
              <w:rPr>
                <w:b/>
                <w:bCs/>
              </w:rPr>
            </w:pPr>
            <w:r>
              <w:rPr>
                <w:b/>
                <w:bCs/>
              </w:rPr>
              <w:t xml:space="preserve">№ п/п</w:t>
            </w:r>
            <w:r/>
          </w:p>
        </w:tc>
        <w:tc>
          <w:tcPr>
            <w:tcW w:w="5670" w:type="dxa"/>
            <w:textDirection w:val="lrTb"/>
            <w:noWrap w:val="false"/>
          </w:tcPr>
          <w:p>
            <w:pPr>
              <w:pStyle w:val="738"/>
              <w:jc w:val="center"/>
              <w:rPr>
                <w:b/>
                <w:bCs/>
              </w:rPr>
            </w:pPr>
            <w:r>
              <w:rPr>
                <w:b/>
                <w:bCs/>
              </w:rPr>
              <w:t xml:space="preserve">Назва системи</w:t>
            </w:r>
            <w:r/>
          </w:p>
        </w:tc>
        <w:tc>
          <w:tcPr>
            <w:tcW w:w="1701" w:type="dxa"/>
            <w:textDirection w:val="lrTb"/>
            <w:noWrap w:val="false"/>
          </w:tcPr>
          <w:p>
            <w:pPr>
              <w:pStyle w:val="738"/>
              <w:jc w:val="center"/>
              <w:rPr>
                <w:b/>
                <w:bCs/>
              </w:rPr>
            </w:pPr>
            <w:r>
              <w:rPr>
                <w:b/>
                <w:bCs/>
              </w:rPr>
              <w:t xml:space="preserve">Одиниця виміру</w:t>
            </w:r>
            <w:r/>
          </w:p>
        </w:tc>
        <w:tc>
          <w:tcPr>
            <w:tcW w:w="1701" w:type="dxa"/>
            <w:textDirection w:val="lrTb"/>
            <w:noWrap w:val="false"/>
          </w:tcPr>
          <w:p>
            <w:pPr>
              <w:pStyle w:val="738"/>
              <w:jc w:val="center"/>
              <w:rPr>
                <w:b/>
                <w:bCs/>
              </w:rPr>
            </w:pPr>
            <w:r>
              <w:rPr>
                <w:b/>
                <w:bCs/>
              </w:rPr>
              <w:t xml:space="preserve">Кількість</w:t>
            </w:r>
            <w:r/>
          </w:p>
        </w:tc>
      </w:tr>
      <w:tr>
        <w:trPr/>
        <w:tc>
          <w:tcPr>
            <w:tcW w:w="562" w:type="dxa"/>
            <w:vAlign w:val="center"/>
            <w:textDirection w:val="lrTb"/>
            <w:noWrap w:val="false"/>
          </w:tcPr>
          <w:p>
            <w:pPr>
              <w:pStyle w:val="738"/>
              <w:jc w:val="center"/>
            </w:pPr>
            <w:r>
              <w:rPr>
                <w:b/>
                <w:bCs/>
              </w:rPr>
              <w:t xml:space="preserve">1</w:t>
            </w:r>
            <w:r/>
          </w:p>
        </w:tc>
        <w:tc>
          <w:tcPr>
            <w:tcW w:w="5670" w:type="dxa"/>
            <w:textDirection w:val="lrTb"/>
            <w:noWrap w:val="false"/>
          </w:tcPr>
          <w:p>
            <w:pPr>
              <w:pStyle w:val="738"/>
              <w:rPr>
                <w:b/>
                <w:bCs/>
              </w:rPr>
            </w:pPr>
            <w:r>
              <w:rPr>
                <w:rFonts w:eastAsia="Calibri"/>
                <w:b/>
                <w:bCs/>
              </w:rPr>
              <w:t xml:space="preserve">Офісна металева шафа (архівна) із замком</w:t>
            </w:r>
            <w:r/>
          </w:p>
        </w:tc>
        <w:tc>
          <w:tcPr>
            <w:tcW w:w="1701" w:type="dxa"/>
            <w:vAlign w:val="center"/>
            <w:textDirection w:val="lrTb"/>
            <w:noWrap w:val="false"/>
          </w:tcPr>
          <w:p>
            <w:pPr>
              <w:pStyle w:val="738"/>
              <w:jc w:val="center"/>
            </w:pPr>
            <w:r>
              <w:t xml:space="preserve">шт.</w:t>
            </w:r>
            <w:r/>
          </w:p>
        </w:tc>
        <w:tc>
          <w:tcPr>
            <w:tcW w:w="1701" w:type="dxa"/>
            <w:vAlign w:val="center"/>
            <w:textDirection w:val="lrTb"/>
            <w:noWrap w:val="false"/>
          </w:tcPr>
          <w:p>
            <w:pPr>
              <w:pStyle w:val="738"/>
              <w:jc w:val="center"/>
            </w:pPr>
            <w:r>
              <w:t xml:space="preserve">2</w:t>
            </w:r>
            <w:r/>
          </w:p>
        </w:tc>
      </w:tr>
    </w:tbl>
    <w:p>
      <w:pPr>
        <w:pStyle w:val="738"/>
        <w:jc w:val="both"/>
        <w:spacing w:after="0" w:line="240" w:lineRule="auto"/>
        <w:rPr>
          <w:b/>
          <w:bCs/>
          <w:i/>
          <w:iCs/>
          <w:lang w:eastAsia="ru-RU"/>
        </w:rPr>
      </w:pPr>
      <w:r>
        <w:rPr>
          <w:b/>
          <w:bCs/>
          <w:i/>
          <w:iCs/>
          <w:lang w:eastAsia="ru-RU"/>
        </w:rPr>
      </w:r>
      <w:r/>
    </w:p>
    <w:p>
      <w:pPr>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У ціну мають бути включені прямі, загальновиробничі та адміністративні витрати з урахуванням витрат, у тому ч</w:t>
      </w:r>
      <w:r>
        <w:rPr>
          <w:rFonts w:ascii="Times New Roman" w:hAnsi="Times New Roman" w:cs="Times New Roman"/>
          <w:b/>
          <w:bCs/>
          <w:i/>
          <w:iCs/>
          <w:sz w:val="24"/>
          <w:szCs w:val="24"/>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rFonts w:ascii="Times New Roman" w:hAnsi="Times New Roman" w:cs="Times New Roman"/>
          <w:b/>
          <w:bCs/>
          <w:i/>
          <w:iCs/>
          <w:sz w:val="24"/>
          <w:szCs w:val="24"/>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rFonts w:ascii="Times New Roman" w:hAnsi="Times New Roman" w:cs="Times New Roman"/>
          <w:b/>
          <w:bCs/>
          <w:i/>
          <w:iCs/>
          <w:sz w:val="24"/>
          <w:szCs w:val="24"/>
        </w:rPr>
        <w:t xml:space="preserve">проєкту</w:t>
      </w:r>
      <w:r>
        <w:rPr>
          <w:rFonts w:ascii="Times New Roman" w:hAnsi="Times New Roman" w:cs="Times New Roman"/>
          <w:b/>
          <w:bCs/>
          <w:i/>
          <w:iCs/>
          <w:sz w:val="24"/>
          <w:szCs w:val="24"/>
        </w:rPr>
        <w:t xml:space="preserve"> Договору до моменту його повного завершення.</w:t>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 Гарантія на товар повинна бути не менше гарантії виробника та складати не менше 12 (дванадцять) місяців (надати гарантійний лист)</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contextualSpacing/>
        <w:ind w:firstLine="567"/>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4"/>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29"/>
        <w:gridCol w:w="7011"/>
        <w:gridCol w:w="917"/>
        <w:gridCol w:w="1177"/>
      </w:tblGrid>
      <w:tr>
        <w:trPr>
          <w:trHeight w:val="768"/>
        </w:trPr>
        <w:tc>
          <w:tcPr>
            <w:shd w:val="clear" w:color="auto" w:fill="auto"/>
            <w:tcW w:w="529"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w:t>
            </w:r>
            <w:r/>
          </w:p>
          <w:p>
            <w:pPr>
              <w:pStyle w:val="754"/>
              <w:jc w:val="center"/>
              <w:rPr>
                <w:rFonts w:ascii="Times New Roman" w:hAnsi="Times New Roman"/>
                <w:sz w:val="24"/>
                <w:szCs w:val="24"/>
              </w:rPr>
            </w:pPr>
            <w:r>
              <w:rPr>
                <w:rFonts w:ascii="Times New Roman" w:hAnsi="Times New Roman"/>
                <w:sz w:val="24"/>
                <w:szCs w:val="24"/>
              </w:rPr>
              <w:t xml:space="preserve">з/п</w:t>
            </w:r>
            <w:r/>
          </w:p>
        </w:tc>
        <w:tc>
          <w:tcPr>
            <w:shd w:val="clear" w:color="auto" w:fill="auto"/>
            <w:tcW w:w="7011"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Найменування обладнання</w:t>
            </w:r>
            <w:r/>
          </w:p>
        </w:tc>
        <w:tc>
          <w:tcPr>
            <w:shd w:val="clear" w:color="auto" w:fill="auto"/>
            <w:tcW w:w="917"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Од.</w:t>
            </w:r>
            <w:r/>
          </w:p>
          <w:p>
            <w:pPr>
              <w:pStyle w:val="754"/>
              <w:jc w:val="center"/>
              <w:rPr>
                <w:rFonts w:ascii="Times New Roman" w:hAnsi="Times New Roman"/>
                <w:sz w:val="24"/>
                <w:szCs w:val="24"/>
              </w:rPr>
            </w:pPr>
            <w:r>
              <w:rPr>
                <w:rFonts w:ascii="Times New Roman" w:hAnsi="Times New Roman"/>
                <w:sz w:val="24"/>
                <w:szCs w:val="24"/>
              </w:rPr>
              <w:t xml:space="preserve">виміру</w:t>
            </w:r>
            <w:r/>
          </w:p>
        </w:tc>
        <w:tc>
          <w:tcPr>
            <w:shd w:val="clear" w:color="auto" w:fill="auto"/>
            <w:tcW w:w="1177" w:type="dxa"/>
            <w:textDirection w:val="lrTb"/>
            <w:noWrap w:val="false"/>
          </w:tcPr>
          <w:p>
            <w:pPr>
              <w:pStyle w:val="754"/>
              <w:jc w:val="center"/>
              <w:rPr>
                <w:rFonts w:ascii="Times New Roman" w:hAnsi="Times New Roman"/>
                <w:sz w:val="24"/>
                <w:szCs w:val="24"/>
              </w:rPr>
            </w:pPr>
            <w:r>
              <w:rPr>
                <w:rFonts w:ascii="Times New Roman" w:hAnsi="Times New Roman"/>
                <w:sz w:val="24"/>
                <w:szCs w:val="24"/>
              </w:rPr>
              <w:t xml:space="preserve">Кількість</w:t>
            </w:r>
            <w:r/>
          </w:p>
        </w:tc>
      </w:tr>
      <w:tr>
        <w:trPr>
          <w:trHeight w:val="409"/>
        </w:trPr>
        <w:tc>
          <w:tcPr>
            <w:shd w:val="clear" w:color="auto" w:fill="auto"/>
            <w:tcW w:w="529"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1</w:t>
            </w:r>
            <w:r/>
          </w:p>
        </w:tc>
        <w:tc>
          <w:tcPr>
            <w:shd w:val="clear" w:color="auto" w:fill="auto"/>
            <w:tcW w:w="7011" w:type="dxa"/>
            <w:textDirection w:val="lrTb"/>
            <w:noWrap w:val="false"/>
          </w:tcPr>
          <w:p>
            <w:pPr>
              <w:pStyle w:val="754"/>
              <w:jc w:val="center"/>
              <w:rPr>
                <w:rFonts w:ascii="Times New Roman" w:hAnsi="Times New Roman"/>
                <w:b/>
                <w:bCs/>
                <w:sz w:val="24"/>
                <w:szCs w:val="24"/>
              </w:rPr>
            </w:pPr>
            <w:r>
              <w:rPr>
                <w:rFonts w:ascii="Times New Roman" w:hAnsi="Times New Roman" w:eastAsia="Calibri"/>
                <w:b/>
                <w:bCs/>
                <w:sz w:val="24"/>
                <w:szCs w:val="24"/>
              </w:rPr>
              <w:t xml:space="preserve">Офісна металева шафа (архівна) із замком</w:t>
            </w:r>
            <w:r/>
          </w:p>
        </w:tc>
        <w:tc>
          <w:tcPr>
            <w:shd w:val="clear" w:color="auto" w:fill="auto"/>
            <w:tcW w:w="917" w:type="dxa"/>
            <w:vAlign w:val="center"/>
            <w:textDirection w:val="lrTb"/>
            <w:noWrap w:val="false"/>
          </w:tcPr>
          <w:p>
            <w:pPr>
              <w:pStyle w:val="754"/>
              <w:jc w:val="center"/>
              <w:rPr>
                <w:rFonts w:ascii="Times New Roman" w:hAnsi="Times New Roman"/>
                <w:b/>
                <w:bCs/>
                <w:sz w:val="24"/>
                <w:szCs w:val="24"/>
              </w:rPr>
            </w:pPr>
            <w:r>
              <w:rPr>
                <w:rFonts w:ascii="Times New Roman" w:hAnsi="Times New Roman"/>
                <w:sz w:val="24"/>
                <w:szCs w:val="24"/>
              </w:rPr>
              <w:t xml:space="preserve">шт.</w:t>
            </w:r>
            <w:r/>
          </w:p>
        </w:tc>
        <w:tc>
          <w:tcPr>
            <w:shd w:val="clear" w:color="auto" w:fill="auto"/>
            <w:tcW w:w="1177" w:type="dxa"/>
            <w:vAlign w:val="center"/>
            <w:textDirection w:val="lrTb"/>
            <w:noWrap w:val="false"/>
          </w:tcPr>
          <w:p>
            <w:pPr>
              <w:pStyle w:val="754"/>
              <w:jc w:val="center"/>
              <w:rPr>
                <w:rFonts w:ascii="Times New Roman" w:hAnsi="Times New Roman"/>
                <w:b/>
                <w:bCs/>
                <w:sz w:val="24"/>
                <w:szCs w:val="24"/>
              </w:rPr>
            </w:pPr>
            <w:r>
              <w:rPr>
                <w:rFonts w:ascii="Times New Roman" w:hAnsi="Times New Roman"/>
                <w:b/>
                <w:bCs/>
                <w:sz w:val="24"/>
                <w:szCs w:val="24"/>
              </w:rPr>
              <w:t xml:space="preserve">2</w:t>
            </w:r>
            <w:r/>
          </w:p>
        </w:tc>
      </w:tr>
      <w:tr>
        <w:trPr>
          <w:trHeight w:val="1266"/>
        </w:trPr>
        <w:tc>
          <w:tcPr>
            <w:gridSpan w:val="4"/>
            <w:shd w:val="clear" w:color="auto" w:fill="auto"/>
            <w:tcW w:w="9634" w:type="dxa"/>
            <w:textDirection w:val="lrTb"/>
            <w:noWrap w:val="false"/>
          </w:tcPr>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Замок: ключовий</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Висота: 1976 мм ± 10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Ширина: 600 мм ± 10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Глибина: 455 мм ± 10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Кількість полиць: не менше 4 шт.</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Вага: не більше 50 кг.</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зберігання: не менше 50 папок "Корона" (60 мм)</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Колір: Сірий.</w:t>
            </w:r>
            <w:r/>
          </w:p>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Виготовлені з: сталь, товщиною 0,6-1,0мм </w:t>
            </w:r>
            <w:r/>
          </w:p>
          <w:p>
            <w:pPr>
              <w:spacing w:after="0" w:line="240" w:lineRule="auto"/>
              <w:shd w:val="clear" w:color="auto" w:fill="ffffff"/>
              <w:rPr>
                <w:rFonts w:ascii="Times New Roman" w:hAnsi="Times New Roman" w:cs="Times New Roman"/>
                <w:b/>
                <w:bCs/>
                <w:i/>
                <w:iCs/>
                <w:sz w:val="24"/>
                <w:szCs w:val="24"/>
                <w:shd w:val="clear" w:color="auto" w:fill="ffffff"/>
              </w:rPr>
            </w:pPr>
            <w:r>
              <w:rPr>
                <w:rFonts w:ascii="Times New Roman" w:hAnsi="Times New Roman" w:cs="Times New Roman"/>
                <w:sz w:val="24"/>
                <w:szCs w:val="24"/>
                <w:shd w:val="clear" w:color="auto" w:fill="ffffff"/>
              </w:rPr>
              <w:t xml:space="preserve">Пофарбована:  порошковою фарбою.</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Полиці:  регулювання по висоті з кроком 4 см.</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Максимальне розподілене навантаження на полицю – від 55 до 70 кг .</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Ригельна система замикання</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Ригеля з нержавіючої сталі, встановлені всередині дверей</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Магнітні засувки фіксують розчинні двері в закритому стані при відкритому замку</w:t>
            </w:r>
            <w:r>
              <w:rPr>
                <w:rFonts w:ascii="Times New Roman" w:hAnsi="Times New Roman" w:cs="Times New Roman"/>
                <w:sz w:val="24"/>
                <w:szCs w:val="24"/>
              </w:rPr>
              <w:br/>
            </w:r>
            <w:r>
              <w:rPr>
                <w:rFonts w:ascii="Times New Roman" w:hAnsi="Times New Roman" w:cs="Times New Roman"/>
                <w:b/>
                <w:bCs/>
                <w:i/>
                <w:iCs/>
                <w:sz w:val="24"/>
                <w:szCs w:val="24"/>
                <w:shd w:val="clear" w:color="auto" w:fill="ffffff"/>
              </w:rPr>
              <w:t xml:space="preserve">Товар поставляється в зібраному стані</w:t>
            </w:r>
            <w:r/>
          </w:p>
          <w:p>
            <w:pPr>
              <w:spacing w:after="0" w:line="240" w:lineRule="auto"/>
              <w:shd w:val="clear" w:color="auto" w:fill="ffffff"/>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Орієнтовний ескіз Товару: </w:t>
            </w:r>
            <w:r/>
          </w:p>
          <w:p>
            <w:pP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3248025" cy="1943100"/>
                      <wp:effectExtent l="0" t="0" r="9525" b="0"/>
                      <wp:docPr id="1" name="Рисунок 2" descr="Шафа архівна ШКГ-6 пен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афа архівна ШКГ-6 пенал"/>
                              <pic:cNvPicPr>
                                <a:picLocks noChangeAspect="1"/>
                              </pic:cNvPicPr>
                              <pic:nvPr/>
                            </pic:nvPicPr>
                            <pic:blipFill>
                              <a:blip r:embed="rId11"/>
                              <a:stretch/>
                            </pic:blipFill>
                            <pic:spPr bwMode="auto">
                              <a:xfrm>
                                <a:off x="0" y="0"/>
                                <a:ext cx="3248025" cy="1943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55.8pt;height:153.0pt;mso-wrap-distance-left:0.0pt;mso-wrap-distance-top:0.0pt;mso-wrap-distance-right:0.0pt;mso-wrap-distance-bottom:0.0pt;" stroked="f">
                      <v:path textboxrect="0,0,0,0"/>
                      <v:imagedata r:id="rId11" o:title=""/>
                    </v:shape>
                  </w:pict>
                </mc:Fallback>
              </mc:AlternateContent>
            </w:r>
            <w:r/>
          </w:p>
        </w:tc>
      </w:tr>
    </w:tbl>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18 280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вісімнадцять тисяч двісті вісімдесят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2024-07-08T11:51:06Z</dcterms:modified>
</cp:coreProperties>
</file>