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eastAsia="ru-RU"/>
        </w:rPr>
        <w:t xml:space="preserve">Послуга з технічного обслуговування (технічної підтримки) центральних компонентів Інформаційно-комунікаційної системи «Система фіксації адміністративних правопорушень у сфері забезпечення безпеки дорожнього руху в автоматичному режимі»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2339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Послуга з технічного обслуговування (технічної підтримки) центральних компонентів Інформаційно-комунікаційної системи «Система фіксації адміністративних правопорушень у сфері забезпечення безпеки дорожнього руху в автоматичному режимі»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ind w:firstLine="902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Послуга з технічного обслуговування (технічної підтримки) центральних компонентів Інформаційно-комунікаційної системи «Система фіксації адміністративних правопорушень у сфері забезпечення безпеки дорожнього руху в автоматичному режимі»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Технічна частина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Послуга підтримки ІТ-сервісів Замовника забезпечується Виконавцем у формі часткового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аутстафінгу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персоналу.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Послуга надається Замовнику у вигляді базових та додаткових послуг. Надані послуги оформлюються актами наданих послуг, що підписуються уповноваженими представниками Замовника та Виконавця.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Основні завдання: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numPr>
          <w:ilvl w:val="0"/>
          <w:numId w:val="32"/>
        </w:numPr>
        <w:contextualSpacing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Забезпечити доступність програмно-апаратного комплексу СФАП (далі – ПАК СФАП) з максимально допустимим часом простою не більше ніж 4 години на рік.</w:t>
      </w:r>
      <w:r/>
    </w:p>
    <w:p>
      <w:pPr>
        <w:numPr>
          <w:ilvl w:val="0"/>
          <w:numId w:val="32"/>
        </w:numPr>
        <w:contextualSpacing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Здійснювати комплексну підтримку ІТ-сервісів ПАК СФАП. Підтримка здійснюється за місцезнаходженням Замовника згідно із заявкою (фахівець Виконавця повинен бути присутнім за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адресою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визначеною Замовником у заявці).</w:t>
      </w:r>
      <w:r/>
    </w:p>
    <w:p>
      <w:pPr>
        <w:numPr>
          <w:ilvl w:val="0"/>
          <w:numId w:val="32"/>
        </w:numPr>
        <w:contextualSpacing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Підтримка в актуальному стані технічної документації </w:t>
      </w:r>
      <w:bookmarkStart w:id="1" w:name="_Hlk106808484"/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ПАК СФАП</w:t>
      </w:r>
      <w:bookmarkEnd w:id="1"/>
      <w:r>
        <w:rPr>
          <w:rFonts w:ascii="Times New Roman" w:hAnsi="Times New Roman" w:eastAsia="Calibri" w:cs="Times New Roman"/>
          <w:bCs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Послуга має включати в себе, але не обмежуватися такими складовими: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Відновлення працездатності сервісів, обладнання в разі аварії, збоїв тощо.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Проактивний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моніторинг стану сервісів та обладнання, своєчасне виявлення вузьких місць та надання рекомендацій щодо модернізації або реінжинірингу ІТ-інфраструктури та сервісів Замовника.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Оптимізація використання наявних ІТ-активів та інших ресурсів для зниження витрат Замовника та вартості володіння ПАК СФАП.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Своєчасне, згідно з регламентом, установлення оновлень операційних систем ( далі – ОС) , програмного забезпечення (далі – ПЗ), оновлення прошивок обладнання.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Організація підтримки системи відповідно до наведеного переліку обладнання.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Діагностика програмних та апаратних збоїв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Усунення помилок у роботі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Унесення змін до конфігурації (функціональність) системи згідно з технічним завданням Замовника.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Розробка й оновлення процедур резервного копіювання конфігурацій і даних системи. Перевірка цілісності резервних копій.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Аналіз системних журналів з метою виявлення потенційних проблем у роботі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Надання консультацій технічного персоналу Замовника з питань експлуатації та змін у системі.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Тестування та демонстраційні випробування нового функціоналу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Надання обґрунтованих рекомендацій щодо подальшого розвитку та масштабування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Надання щомісячної звітності щодо виконаних робіт.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Активація річних сервісних контрактів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Smartnet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згідно з переліком.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Упереджувальна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заміна обладнання, що вийшло з ладу. Обладнання або компонента для заміни доставляється Замовнику до отримання від нього несправного обладнання. Час заміни обладнання в Києві – наступний робочий день, в інших містах – до 3 робочих днів.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Отримання основних та проміжних релізів ПЗ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(IOS, голосове ПЗ, прикладне ПЗ) через сайт http://cisco.com/go/software.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Доступ до закритої частини сайту www.cisco.com і онлайн-баз інформації виробника.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Відкриття кейсів у глобальній службі підтримки виробника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TAC.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Режим надання послуг: визначено договором.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Інформація про інфраструктуру.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ПАК СФАП включає в себе такі складові: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Віртуалізація всіх кластерів, побудована за технологіями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VMware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з використанням функціоналу пакета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VMware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vSphere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7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Ent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Plus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Гіперконвергентний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кластер на основі 8 (восьми) серверів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HX240c M5 – 2 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Конвергентний кластер на основі 5 (п’яти)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блейд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-серверів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B200 M5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Blade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розміщених у шасі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5108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Blade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Server AC2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Chassis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– 2 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Система зберігання даних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NetApp FAS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8300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HA System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– 2 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Об’єктна система зберігання даних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Cisco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Scality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що побудована на базі 6 (шести) серверів зберігання даних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S3260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Storage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Server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Base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Chassis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– 2 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Конвергентні комутатори передачі та зберігання даних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Fabric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Interconnect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6332 – 8 одиниць.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Програмно-визначена мережа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Cisco ACI and APIC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на базі 3 (трьох) вузлів APIC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Appliance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Medium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Configuration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; 1 (одного) комутатора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Nexus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9K ACI &amp; NX-OS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Spine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32p 40/100G &amp; 2p 10G та 4 (чотирьох) комутаторів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Nexus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9300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Series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36p 40/100G QSFP28 – 2 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Мережевий маршрутизатор ASR1001-X, 20G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Base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Bundle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K9, AES,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Built-in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6x1G, 2x10G – 4 шт.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Міжмережеві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екрани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Firepower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2130 – 4 шт.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Комутатор  захисту прикладних додатків, балансування навантаження та контролю доступу до прикладних додатків F5 BIG-IP i5600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Local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Traffic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Manager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(48 GB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Memory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SSD,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Base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SSL,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Base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Compression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) – 4 шт.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Додаткову інформацію про інфраструктуру буде надано після підписання договору.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Час надання послуг: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961"/>
      </w:tblGrid>
      <w:tr>
        <w:trPr>
          <w:jc w:val="center"/>
          <w:trHeight w:val="4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textDirection w:val="lrTb"/>
            <w:noWrap w:val="false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Телефонні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консультації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Щоденно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(з 08.00 до 19.00).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Час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реакції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на запит: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до 30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хвилин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 – 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робочий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 час, до 2 годин –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неробочий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 час.</w:t>
            </w:r>
            <w:r/>
          </w:p>
        </w:tc>
      </w:tr>
      <w:tr>
        <w:trPr>
          <w:jc w:val="center"/>
          <w:trHeight w:val="4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textDirection w:val="lrTb"/>
            <w:noWrap w:val="false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Підтримка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електронною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поштою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jc w:val="center"/>
          <w:trHeight w:val="4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textDirection w:val="lrTb"/>
            <w:noWrap w:val="false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Віддалена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підтримка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Час реагування на інциденти</w:t>
      </w:r>
      <w:r/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952"/>
        <w:gridCol w:w="2868"/>
        <w:gridCol w:w="1559"/>
        <w:gridCol w:w="1418"/>
        <w:gridCol w:w="1559"/>
      </w:tblGrid>
      <w:tr>
        <w:trPr>
          <w:trHeight w:val="8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запиту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Вид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категорія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запиту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Час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вирішення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залежно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пріоритету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години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Низький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Середній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Високий</w:t>
            </w:r>
            <w:r/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Інцидент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Усунення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проблем 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роботі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Запит 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обслуговування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Управління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доступом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Запит 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інформації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Консультація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</w:t>
            </w:r>
            <w:r/>
          </w:p>
        </w:tc>
      </w:tr>
      <w:tr>
        <w:trPr>
          <w:trHeight w:val="4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Запит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інформації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Запит 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зміну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Інсталяція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Налаштування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Зміна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даних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</w:t>
            </w:r>
            <w:r/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Виконання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регламентних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операцій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</w:tr>
      <w:tr>
        <w:trPr>
          <w:trHeight w:val="66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Відновлення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після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аварії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Позаштатна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ситуація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Усі звернення класифіковано на:</w:t>
      </w:r>
      <w:r/>
    </w:p>
    <w:p>
      <w:pPr>
        <w:numPr>
          <w:ilvl w:val="0"/>
          <w:numId w:val="35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Інцидентний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запит – звернення, яке обумовлено незапланованим перериванням надання ІТ-послуги або доступності ІТ-сервісу</w:t>
      </w:r>
      <w:r/>
    </w:p>
    <w:p>
      <w:pPr>
        <w:numPr>
          <w:ilvl w:val="0"/>
          <w:numId w:val="35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Запит на обслуговування – заплановане звернення, зумовлене необхідністю виконання робіт з адміністрування ІТ-сервісу. Даний тип запиту не обумовлений перериванням роботи доступності ІТ-сервісу і не пов’язаний з помилкою в ІТ-інфраструктурі.</w:t>
      </w:r>
      <w:r/>
    </w:p>
    <w:p>
      <w:pPr>
        <w:numPr>
          <w:ilvl w:val="0"/>
          <w:numId w:val="35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Запит на надання інформації, отримання консультаційної підтримки інформації. Цей тип запиту не обумовлений перериванням роботи доступності ІТ-сервісу і не пов’язаний з помилкою в ІТ-інфраструктурі.</w:t>
      </w:r>
      <w:r/>
    </w:p>
    <w:p>
      <w:pPr>
        <w:numPr>
          <w:ilvl w:val="0"/>
          <w:numId w:val="35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Запит на зміну включає інсталяцію, налаштування, розробку, виконання регламентних робіт.</w:t>
      </w:r>
      <w:r/>
    </w:p>
    <w:p>
      <w:pPr>
        <w:numPr>
          <w:ilvl w:val="0"/>
          <w:numId w:val="35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Від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новлення після аварії – масовий інцидент високого рівня впливу на ПАК СФАП, який викликаний позаштатною ситуацією в програмному та/або апаратному забезпеченні й який призвів до повного зупинення робочих процесів та ІТ-сервісів, які ці процеси забезпечують.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Пріоритети</w:t>
      </w:r>
      <w:r/>
    </w:p>
    <w:p>
      <w:pPr>
        <w:numPr>
          <w:ilvl w:val="0"/>
          <w:numId w:val="35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Високий – один або кілька ключових сервісів та функцій не працюють, що істотно впливає на бізнес-процеси замовника, зокрема такі як: робота ПАК СФАП неможлива.</w:t>
      </w:r>
      <w:r/>
    </w:p>
    <w:p>
      <w:pPr>
        <w:numPr>
          <w:ilvl w:val="0"/>
          <w:numId w:val="35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редній – один або кілька сервісів і функцій не працюють або знижена їхня продуктивність, що чинить несуттєвий вплив на роботу ПАК СФАП, такі як: робота ПАК можлива з несуттєвим порушенням нормативних термінів, неможливо отримати неосновні послуги ПАК СФАП.</w:t>
      </w:r>
      <w:r/>
    </w:p>
    <w:p>
      <w:pPr>
        <w:numPr>
          <w:ilvl w:val="0"/>
          <w:numId w:val="35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Низький – низка сервісів та функцій не працюють або знижена їхня продуктивність, що не впливає на роботу ПАК СФАП, є можливість заміни їхньої функціональності на альтернативні рішення.</w:t>
      </w:r>
      <w:r/>
    </w:p>
    <w:p>
      <w:pPr>
        <w:ind w:firstLine="902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firstLine="902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Кваліфікаційна частина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період виконання договору за Замовником має бути закріплено не менш ніж один: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• виокремлений менеджер з обробки заявок і звернень;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• виокремлений інженер першої лінії підтримки.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Учасники торгів повинні належним чином здійснювати діяльність щодо предмету закупівлі. У зв’язку з цим для належного захисту інтересів Замовника щодо авторизованого джерела постачання послуг за такими торгами учасники торгів повинні надати копію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авторизаційного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листа про повноваження від виробників та/або офіційних представництв та/або дистриб’юторів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території України, що підтверджує право учасника торгів на постачання послуг відповідно до позицій предмета закупівлі та укладання договору про їх постачання на території України з обов’язковим зазначенням найменування та номера торгів. У разі надання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авторизаційного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листа від виробника (-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іноземною мовою цей лист має супроводжуватись українським перекладом.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Учасник якого визначено переможцем процедури закупівлі, проводить науково-технічну експертизу та/або експертну оцінку та/або незалежну оцінку вартості послуг, та надає Замовнику документ що підтверджує вартість вказаних послуг. У раз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 надання документу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6 354 600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шість мільйонів триста п’ятдесят чотири тисячі шістсот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15"/>
  </w:num>
  <w:num w:numId="3">
    <w:abstractNumId w:val="6"/>
  </w:num>
  <w:num w:numId="4">
    <w:abstractNumId w:val="21"/>
  </w:num>
  <w:num w:numId="5">
    <w:abstractNumId w:val="5"/>
  </w:num>
  <w:num w:numId="6">
    <w:abstractNumId w:val="29"/>
  </w:num>
  <w:num w:numId="7">
    <w:abstractNumId w:val="9"/>
  </w:num>
  <w:num w:numId="8">
    <w:abstractNumId w:val="31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0"/>
  </w:num>
  <w:num w:numId="17">
    <w:abstractNumId w:val="0"/>
  </w:num>
  <w:num w:numId="18">
    <w:abstractNumId w:val="33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16"/>
  </w:num>
  <w:num w:numId="26">
    <w:abstractNumId w:val="19"/>
  </w:num>
  <w:num w:numId="27">
    <w:abstractNumId w:val="24"/>
  </w:num>
  <w:num w:numId="28">
    <w:abstractNumId w:val="17"/>
  </w:num>
  <w:num w:numId="29">
    <w:abstractNumId w:val="26"/>
  </w:num>
  <w:num w:numId="30">
    <w:abstractNumId w:val="14"/>
  </w:num>
  <w:num w:numId="31">
    <w:abstractNumId w:val="2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3"/>
    <w:next w:val="71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5"/>
    <w:link w:val="7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3"/>
    <w:next w:val="71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3"/>
    <w:next w:val="71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3"/>
    <w:next w:val="71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3"/>
    <w:next w:val="71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3"/>
    <w:next w:val="71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3"/>
    <w:next w:val="71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3"/>
    <w:next w:val="71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3"/>
    <w:next w:val="71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5"/>
    <w:link w:val="33"/>
    <w:uiPriority w:val="10"/>
    <w:rPr>
      <w:sz w:val="48"/>
      <w:szCs w:val="48"/>
    </w:rPr>
  </w:style>
  <w:style w:type="paragraph" w:styleId="35">
    <w:name w:val="Subtitle"/>
    <w:basedOn w:val="713"/>
    <w:next w:val="71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5"/>
    <w:link w:val="35"/>
    <w:uiPriority w:val="11"/>
    <w:rPr>
      <w:sz w:val="24"/>
      <w:szCs w:val="24"/>
    </w:rPr>
  </w:style>
  <w:style w:type="paragraph" w:styleId="37">
    <w:name w:val="Quote"/>
    <w:basedOn w:val="713"/>
    <w:next w:val="71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3"/>
    <w:next w:val="71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5"/>
    <w:link w:val="41"/>
    <w:uiPriority w:val="99"/>
  </w:style>
  <w:style w:type="character" w:styleId="44">
    <w:name w:val="Footer Char"/>
    <w:basedOn w:val="715"/>
    <w:link w:val="724"/>
    <w:uiPriority w:val="99"/>
  </w:style>
  <w:style w:type="paragraph" w:styleId="45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4"/>
    <w:uiPriority w:val="99"/>
  </w:style>
  <w:style w:type="table" w:styleId="48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5"/>
    <w:uiPriority w:val="99"/>
    <w:unhideWhenUsed/>
    <w:rPr>
      <w:vertAlign w:val="superscript"/>
    </w:rPr>
  </w:style>
  <w:style w:type="paragraph" w:styleId="177">
    <w:name w:val="endnote text"/>
    <w:basedOn w:val="71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5"/>
    <w:uiPriority w:val="99"/>
    <w:semiHidden/>
    <w:unhideWhenUsed/>
    <w:rPr>
      <w:vertAlign w:val="superscript"/>
    </w:rPr>
  </w:style>
  <w:style w:type="paragraph" w:styleId="180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rPr>
      <w:lang w:val="uk-UA"/>
    </w:rPr>
  </w:style>
  <w:style w:type="paragraph" w:styleId="714">
    <w:name w:val="Heading 2"/>
    <w:basedOn w:val="713"/>
    <w:link w:val="73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>
    <w:name w:val="List Paragraph"/>
    <w:basedOn w:val="713"/>
    <w:link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9" w:customStyle="1">
    <w:name w:val="Абзац списку Знак"/>
    <w:link w:val="718"/>
    <w:uiPriority w:val="34"/>
    <w:qFormat/>
    <w:rPr>
      <w:rFonts w:ascii="Calibri" w:hAnsi="Calibri" w:eastAsia="Calibri" w:cs="Calibri"/>
      <w:lang w:eastAsia="zh-CN"/>
    </w:rPr>
  </w:style>
  <w:style w:type="table" w:styleId="720">
    <w:name w:val="Table Grid"/>
    <w:basedOn w:val="7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Сетка таблицы2"/>
    <w:basedOn w:val="716"/>
    <w:next w:val="72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>
    <w:name w:val="Normal (Web)"/>
    <w:basedOn w:val="713"/>
    <w:link w:val="729"/>
    <w:unhideWhenUsed/>
    <w:qFormat/>
    <w:rPr>
      <w:rFonts w:ascii="Times New Roman" w:hAnsi="Times New Roman" w:cs="Times New Roman"/>
      <w:sz w:val="24"/>
      <w:szCs w:val="24"/>
    </w:rPr>
  </w:style>
  <w:style w:type="table" w:styleId="723" w:customStyle="1">
    <w:name w:val="Сетка таблицы1"/>
    <w:basedOn w:val="716"/>
    <w:next w:val="72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4">
    <w:name w:val="Footer"/>
    <w:basedOn w:val="713"/>
    <w:link w:val="72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5" w:customStyle="1">
    <w:name w:val="Нижній колонтитул Знак"/>
    <w:basedOn w:val="715"/>
    <w:link w:val="724"/>
    <w:uiPriority w:val="99"/>
    <w:rPr>
      <w:rFonts w:ascii="Calibri" w:hAnsi="Calibri" w:eastAsia="Calibri" w:cs="Calibri"/>
      <w:lang w:eastAsia="zh-CN"/>
    </w:rPr>
  </w:style>
  <w:style w:type="paragraph" w:styleId="72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7">
    <w:name w:val="Hyperlink"/>
    <w:basedOn w:val="715"/>
    <w:uiPriority w:val="99"/>
    <w:unhideWhenUsed/>
    <w:rPr>
      <w:color w:val="0563c1" w:themeColor="hyperlink"/>
      <w:u w:val="single"/>
    </w:rPr>
  </w:style>
  <w:style w:type="character" w:styleId="728" w:customStyle="1">
    <w:name w:val="xfm_93972720"/>
    <w:basedOn w:val="715"/>
  </w:style>
  <w:style w:type="character" w:styleId="729" w:customStyle="1">
    <w:name w:val="Звичайний (веб) Знак"/>
    <w:link w:val="722"/>
    <w:qFormat/>
    <w:rPr>
      <w:rFonts w:ascii="Times New Roman" w:hAnsi="Times New Roman" w:cs="Times New Roman"/>
      <w:sz w:val="24"/>
      <w:szCs w:val="24"/>
      <w:lang w:val="uk-UA"/>
    </w:rPr>
  </w:style>
  <w:style w:type="paragraph" w:styleId="730">
    <w:name w:val="Body Text 2"/>
    <w:basedOn w:val="713"/>
    <w:link w:val="73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1" w:customStyle="1">
    <w:name w:val="Основний текст 2 Знак"/>
    <w:basedOn w:val="715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3" w:customStyle="1">
    <w:name w:val="Заголовок 2 Знак"/>
    <w:basedOn w:val="715"/>
    <w:link w:val="71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4">
    <w:name w:val="No Spacing"/>
    <w:link w:val="73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5" w:customStyle="1">
    <w:name w:val="Без інтервалів Знак"/>
    <w:basedOn w:val="715"/>
    <w:link w:val="734"/>
    <w:uiPriority w:val="1"/>
    <w:rPr>
      <w:rFonts w:ascii="Calibri" w:hAnsi="Calibri" w:eastAsia="Calibri" w:cs="Times New Roman"/>
      <w:lang w:val="uk-UA"/>
    </w:rPr>
  </w:style>
  <w:style w:type="character" w:styleId="736" w:customStyle="1">
    <w:name w:val="Другое_"/>
    <w:basedOn w:val="715"/>
    <w:link w:val="737"/>
    <w:rPr>
      <w:rFonts w:ascii="Calibri" w:hAnsi="Calibri" w:eastAsia="Calibri" w:cs="Calibri"/>
      <w:sz w:val="20"/>
      <w:szCs w:val="20"/>
    </w:rPr>
  </w:style>
  <w:style w:type="paragraph" w:styleId="737" w:customStyle="1">
    <w:name w:val="Другое"/>
    <w:basedOn w:val="713"/>
    <w:link w:val="73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9" w:customStyle="1">
    <w:name w:val="Основной текст (2)_"/>
    <w:basedOn w:val="715"/>
    <w:link w:val="740"/>
    <w:rPr>
      <w:rFonts w:eastAsia="Times New Roman" w:cs="Times New Roman"/>
      <w:shd w:val="clear" w:color="auto" w:fill="ffffff"/>
    </w:rPr>
  </w:style>
  <w:style w:type="paragraph" w:styleId="740" w:customStyle="1">
    <w:name w:val="Основной текст (2)"/>
    <w:basedOn w:val="713"/>
    <w:link w:val="73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1" w:customStyle="1">
    <w:name w:val="Текст у виносці Знак"/>
    <w:basedOn w:val="715"/>
    <w:link w:val="7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2">
    <w:name w:val="Balloon Text"/>
    <w:basedOn w:val="713"/>
    <w:link w:val="74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3" w:customStyle="1">
    <w:name w:val="Текст у виносці Знак1"/>
    <w:basedOn w:val="71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4" w:customStyle="1">
    <w:name w:val="T23"/>
    <w:rPr>
      <w:rFonts w:hint="default" w:ascii="Times New Roman" w:hAnsi="Times New Roman" w:eastAsia="Times New Roman1" w:cs="Times New Roman"/>
    </w:rPr>
  </w:style>
  <w:style w:type="paragraph" w:styleId="745" w:customStyle="1">
    <w:name w:val="Абзац списку1"/>
    <w:basedOn w:val="713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6" w:customStyle="1">
    <w:name w:val="markedcontent"/>
    <w:basedOn w:val="715"/>
  </w:style>
  <w:style w:type="paragraph" w:styleId="747">
    <w:name w:val="annotation text"/>
    <w:basedOn w:val="713"/>
    <w:link w:val="748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8" w:customStyle="1">
    <w:name w:val="Текст примітки Знак"/>
    <w:basedOn w:val="715"/>
    <w:link w:val="7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9" w:customStyle="1">
    <w:name w:val="docdata"/>
    <w:basedOn w:val="71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149</cp:revision>
  <dcterms:created xsi:type="dcterms:W3CDTF">2022-11-01T12:47:00Z</dcterms:created>
  <dcterms:modified xsi:type="dcterms:W3CDTF">2024-01-19T16:40:41Z</dcterms:modified>
</cp:coreProperties>
</file>