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39615905"/>
      <w:r>
        <w:rPr>
          <w:b w:val="0"/>
          <w:bCs w:val="0"/>
          <w:sz w:val="24"/>
          <w:szCs w:val="24"/>
        </w:rPr>
        <w:t xml:space="preserve">Закупівля перегородок (сендвіч панелі) зі встановленням за ДК 021:2015: 44110000-4 (44112300-1) </w:t>
      </w:r>
      <w:bookmarkEnd w:id="0"/>
      <w:r>
        <w:rPr>
          <w:b w:val="0"/>
          <w:bCs w:val="0"/>
          <w:sz w:val="24"/>
          <w:szCs w:val="24"/>
        </w:rPr>
        <w:t xml:space="preserve">Конструкційні матеріали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013510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перегородок (сендвіч панелі) зі встановленням</w:t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Сендвіч панель 40 мм. «Антрацит» сірий 1490х2357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21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bCs/>
              </w:rPr>
              <w:t xml:space="preserve">Сендвіч панель 40 мм. «Антрацит» сірий 1178х2357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21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bCs/>
              </w:rPr>
              <w:t xml:space="preserve">Сендвіч панель 40 мм. «Антрацит» сірий 1178х2357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21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bCs/>
              </w:rPr>
              <w:t xml:space="preserve">Сендвіч панель 40 мм. «Антрацит» сірий 1490х2357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</w:tbl>
    <w:p>
      <w:pPr>
        <w:pStyle w:val="696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завершення; монтаж та введення в експлуатацію Товару.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мовою, гарантійні талони, набір драйверів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Поставка та встановлення (монтаж)  товару за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м. Львів, вул. Конюшинна 22.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  <w:r/>
    </w:p>
    <w:p>
      <w:pPr>
        <w:ind w:firstLine="263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  <w:r/>
    </w:p>
    <w:p>
      <w:pPr>
        <w:ind w:firstLine="263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  <w:r/>
    </w:p>
    <w:p>
      <w:pPr>
        <w:pStyle w:val="692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  <w:r/>
    </w:p>
    <w:p>
      <w:pPr>
        <w:ind w:left="-993"/>
        <w:jc w:val="both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15150" cy="90106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15150" cy="901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4.5pt;height:709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-851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48475" cy="863917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848475" cy="863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39.2pt;height:68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263"/>
        <w:jc w:val="both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</w:t>
      </w:r>
      <w:r>
        <w:rPr>
          <w:i/>
          <w:sz w:val="24"/>
          <w:szCs w:val="24"/>
        </w:rPr>
        <w:t xml:space="preserve">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на ко</w:t>
      </w:r>
      <w:r>
        <w:rPr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spacing w:after="0"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122 755,63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п’ятдесят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  <w:style w:type="paragraph" w:styleId="719" w:customStyle="1">
    <w:name w:val="Абзац списку1"/>
    <w:basedOn w:val="68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0" w:customStyle="1">
    <w:name w:val="markedcontent"/>
    <w:basedOn w:val="689"/>
  </w:style>
  <w:style w:type="character" w:styleId="721" w:customStyle="1">
    <w:name w:val="docdata"/>
    <w:basedOn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2023-10-24T15:18:03Z</dcterms:modified>
</cp:coreProperties>
</file>