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87"/>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43269229"/>
      <w:r>
        <w:rPr>
          <w:b w:val="0"/>
          <w:bCs w:val="0"/>
          <w:sz w:val="24"/>
          <w:szCs w:val="24"/>
        </w:rPr>
        <w:t xml:space="preserve">Фінансові послуг</w:t>
      </w:r>
      <w:r>
        <w:rPr>
          <w:b w:val="0"/>
          <w:bCs w:val="0"/>
          <w:sz w:val="24"/>
          <w:szCs w:val="24"/>
        </w:rPr>
        <w:t xml:space="preserve">и з прийому Платежів в якості оплати штрафів за постановами, винесеними за вчинення адміністративних правопорушень у сфері безпеки дорожнього руху, зафіксованих в автоматичному режимі, на Сервісі від Платників і подальше перерахування коштів до Державного </w:t>
      </w:r>
      <w:r>
        <w:rPr>
          <w:b w:val="0"/>
          <w:bCs w:val="0"/>
          <w:sz w:val="24"/>
          <w:szCs w:val="24"/>
        </w:rPr>
        <w:t xml:space="preserve">бюджету України, в тому числі здійснення технологічного, інформаційного, допоміжного обслуговування переказу коштів (ЛОТОВА ЗАКУПВЛЯ) за ДК 021:2015: 66170000–2 «Послуги з надання фінансових консультацій, обробки фінансових транзакцій і клірингові послуги»</w:t>
      </w:r>
      <w:bookmarkEnd w:id="0"/>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03</w:t>
      </w:r>
      <w:r>
        <w:rPr>
          <w:rFonts w:ascii="Times New Roman" w:hAnsi="Times New Roman" w:cs="Times New Roman"/>
          <w:sz w:val="24"/>
          <w:szCs w:val="24"/>
        </w:rPr>
        <w:t xml:space="preserve">-</w:t>
      </w:r>
      <w:r>
        <w:rPr>
          <w:rFonts w:ascii="Times New Roman" w:hAnsi="Times New Roman" w:cs="Times New Roman"/>
          <w:sz w:val="24"/>
          <w:szCs w:val="24"/>
        </w:rPr>
        <w:t xml:space="preserve">012640-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Фінансові послуги з прийому Платежів в якості оплати штрафів за постановами, винесеними за вчинення адміністративних правопорушень у сфері безпеки до</w:t>
      </w:r>
      <w:r>
        <w:rPr>
          <w:rFonts w:ascii="Times New Roman" w:hAnsi="Times New Roman" w:cs="Times New Roman"/>
          <w:sz w:val="24"/>
          <w:szCs w:val="24"/>
        </w:rPr>
        <w:t xml:space="preserve">рожнього руху, зафіксованих в автоматичному режимі, на Сервісі від Платників і подальше перерахування коштів до Державного бюджету України, в тому числі здійснення технологічного, інформаційного, допоміжного обслуговування переказу коштів (ЛОТОВА ЗАКУПВЛЯ)</w:t>
      </w:r>
      <w:r/>
    </w:p>
    <w:p>
      <w:pPr>
        <w:ind w:firstLine="357"/>
        <w:jc w:val="both"/>
        <w:spacing w:after="0" w:line="240" w:lineRule="auto"/>
        <w:rPr>
          <w:rFonts w:ascii="Times New Roman" w:hAnsi="Times New Roman" w:cs="Times New Roman"/>
          <w:b/>
          <w:color w:val="000000"/>
          <w:sz w:val="24"/>
          <w:szCs w:val="24"/>
        </w:rPr>
      </w:pPr>
      <w:r>
        <w:rPr>
          <w:rFonts w:ascii="Times New Roman" w:hAnsi="Times New Roman" w:cs="Times New Roman"/>
          <w:sz w:val="24"/>
          <w:szCs w:val="24"/>
        </w:rPr>
        <w:br/>
      </w:r>
      <w:r>
        <w:rPr>
          <w:rFonts w:ascii="Times New Roman" w:hAnsi="Times New Roman" w:cs="Times New Roman"/>
          <w:b/>
          <w:color w:val="000000"/>
          <w:sz w:val="24"/>
          <w:szCs w:val="24"/>
        </w:rPr>
        <w:t xml:space="preserve">ТЕХНІЧНІ ВИМОГИ (до всіх ЛОТІВ)</w:t>
      </w:r>
      <w:r/>
    </w:p>
    <w:p>
      <w:pPr>
        <w:ind w:firstLine="357"/>
        <w:jc w:val="both"/>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93"/>
        <w:tblW w:w="9634" w:type="dxa"/>
        <w:tblLook w:val="04A0" w:firstRow="1" w:lastRow="0" w:firstColumn="1" w:lastColumn="0" w:noHBand="0" w:noVBand="1"/>
      </w:tblPr>
      <w:tblGrid>
        <w:gridCol w:w="918"/>
        <w:gridCol w:w="5429"/>
        <w:gridCol w:w="1639"/>
        <w:gridCol w:w="1648"/>
      </w:tblGrid>
      <w:tr>
        <w:trPr/>
        <w:tc>
          <w:tcPr>
            <w:tcBorders>
              <w:top w:val="single" w:color="auto" w:sz="4" w:space="0"/>
              <w:left w:val="single" w:color="auto" w:sz="4" w:space="0"/>
              <w:bottom w:val="single" w:color="auto" w:sz="4" w:space="0"/>
              <w:right w:val="single" w:color="auto" w:sz="4" w:space="0"/>
            </w:tcBorders>
            <w:tcW w:w="918" w:type="dxa"/>
            <w:textDirection w:val="lrTb"/>
            <w:noWrap w:val="false"/>
          </w:tcPr>
          <w:p>
            <w:pPr>
              <w:pStyle w:val="695"/>
              <w:jc w:val="both"/>
              <w:rPr>
                <w:b/>
                <w:bCs/>
                <w:lang w:val="ru-RU"/>
              </w:rPr>
            </w:pPr>
            <w:r>
              <w:rPr>
                <w:b/>
                <w:bCs/>
                <w:lang w:val="ru-RU"/>
              </w:rPr>
              <w:t xml:space="preserve">№ ЛОТУ</w:t>
            </w:r>
            <w:r/>
          </w:p>
        </w:tc>
        <w:tc>
          <w:tcPr>
            <w:tcBorders>
              <w:top w:val="single" w:color="auto" w:sz="4" w:space="0"/>
              <w:left w:val="single" w:color="auto" w:sz="4" w:space="0"/>
              <w:bottom w:val="single" w:color="auto" w:sz="4" w:space="0"/>
              <w:right w:val="single" w:color="auto" w:sz="4" w:space="0"/>
            </w:tcBorders>
            <w:tcW w:w="5429" w:type="dxa"/>
            <w:textDirection w:val="lrTb"/>
            <w:noWrap w:val="false"/>
          </w:tcPr>
          <w:p>
            <w:pPr>
              <w:pStyle w:val="695"/>
              <w:jc w:val="both"/>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639" w:type="dxa"/>
            <w:textDirection w:val="lrTb"/>
            <w:noWrap w:val="false"/>
          </w:tcPr>
          <w:p>
            <w:pPr>
              <w:pStyle w:val="695"/>
              <w:jc w:val="both"/>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648" w:type="dxa"/>
            <w:textDirection w:val="lrTb"/>
            <w:noWrap w:val="false"/>
          </w:tcPr>
          <w:p>
            <w:pPr>
              <w:pStyle w:val="695"/>
              <w:jc w:val="both"/>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918" w:type="dxa"/>
            <w:vAlign w:val="center"/>
            <w:textDirection w:val="lrTb"/>
            <w:noWrap w:val="false"/>
          </w:tcPr>
          <w:p>
            <w:pPr>
              <w:pStyle w:val="695"/>
              <w:jc w:val="both"/>
              <w:rPr>
                <w:lang w:val="ru-RU"/>
              </w:rPr>
            </w:pPr>
            <w:r>
              <w:rPr>
                <w:b/>
                <w:bCs/>
                <w:lang w:val="ru-RU"/>
              </w:rPr>
              <w:t xml:space="preserve">Лот 1</w:t>
            </w:r>
            <w:r/>
          </w:p>
        </w:tc>
        <w:tc>
          <w:tcPr>
            <w:tcBorders>
              <w:top w:val="single" w:color="auto" w:sz="4" w:space="0"/>
              <w:left w:val="single" w:color="auto" w:sz="4" w:space="0"/>
              <w:bottom w:val="single" w:color="auto" w:sz="4" w:space="0"/>
              <w:right w:val="single" w:color="auto" w:sz="4" w:space="0"/>
            </w:tcBorders>
            <w:tcW w:w="5429" w:type="dxa"/>
            <w:textDirection w:val="lrTb"/>
            <w:noWrap w:val="false"/>
          </w:tcPr>
          <w:p>
            <w:pPr>
              <w:pStyle w:val="695"/>
              <w:jc w:val="both"/>
              <w:rPr>
                <w:b/>
                <w:bCs/>
                <w:lang w:val="ru-RU"/>
              </w:rPr>
            </w:pPr>
            <w:r>
              <w:rPr>
                <w:lang w:val="ru-RU" w:eastAsia="ru-RU"/>
              </w:rPr>
              <w:t xml:space="preserve">Фінансові</w:t>
            </w:r>
            <w:r>
              <w:rPr>
                <w:lang w:val="ru-RU" w:eastAsia="ru-RU"/>
              </w:rPr>
              <w:t xml:space="preserve"> </w:t>
            </w:r>
            <w:r>
              <w:rPr>
                <w:lang w:val="ru-RU" w:eastAsia="ru-RU"/>
              </w:rPr>
              <w:t xml:space="preserve">послуги</w:t>
            </w:r>
            <w:r>
              <w:rPr>
                <w:lang w:val="ru-RU" w:eastAsia="ru-RU"/>
              </w:rPr>
              <w:t xml:space="preserve"> з </w:t>
            </w:r>
            <w:r>
              <w:rPr>
                <w:lang w:val="ru-RU" w:eastAsia="ru-RU"/>
              </w:rPr>
              <w:t xml:space="preserve">прийому</w:t>
            </w:r>
            <w:r>
              <w:rPr>
                <w:lang w:val="ru-RU" w:eastAsia="ru-RU"/>
              </w:rPr>
              <w:t xml:space="preserve"> </w:t>
            </w:r>
            <w:r>
              <w:rPr>
                <w:lang w:val="ru-RU" w:eastAsia="ru-RU"/>
              </w:rPr>
              <w:t xml:space="preserve">Платежів</w:t>
            </w:r>
            <w:r>
              <w:rPr>
                <w:lang w:val="ru-RU" w:eastAsia="ru-RU"/>
              </w:rPr>
              <w:t xml:space="preserve"> в </w:t>
            </w:r>
            <w:r>
              <w:rPr>
                <w:lang w:val="ru-RU" w:eastAsia="ru-RU"/>
              </w:rPr>
              <w:t xml:space="preserve">якості</w:t>
            </w:r>
            <w:r>
              <w:rPr>
                <w:lang w:val="ru-RU" w:eastAsia="ru-RU"/>
              </w:rPr>
              <w:t xml:space="preserve"> оплати </w:t>
            </w:r>
            <w:r>
              <w:rPr>
                <w:lang w:val="ru-RU" w:eastAsia="ru-RU"/>
              </w:rPr>
              <w:t xml:space="preserve">штрафів</w:t>
            </w:r>
            <w:r>
              <w:rPr>
                <w:lang w:val="ru-RU" w:eastAsia="ru-RU"/>
              </w:rPr>
              <w:t xml:space="preserve"> за постановами, </w:t>
            </w:r>
            <w:r>
              <w:rPr>
                <w:lang w:val="ru-RU" w:eastAsia="ru-RU"/>
              </w:rPr>
              <w:t xml:space="preserve">винесеними</w:t>
            </w:r>
            <w:r>
              <w:rPr>
                <w:lang w:val="ru-RU" w:eastAsia="ru-RU"/>
              </w:rPr>
              <w:t xml:space="preserve"> за </w:t>
            </w:r>
            <w:r>
              <w:rPr>
                <w:lang w:val="ru-RU" w:eastAsia="ru-RU"/>
              </w:rPr>
              <w:t xml:space="preserve">вчинення</w:t>
            </w:r>
            <w:r>
              <w:rPr>
                <w:lang w:val="ru-RU" w:eastAsia="ru-RU"/>
              </w:rPr>
              <w:t xml:space="preserve"> </w:t>
            </w:r>
            <w:r>
              <w:rPr>
                <w:lang w:val="ru-RU" w:eastAsia="ru-RU"/>
              </w:rPr>
              <w:t xml:space="preserve">адміністративних</w:t>
            </w:r>
            <w:r>
              <w:rPr>
                <w:lang w:val="ru-RU" w:eastAsia="ru-RU"/>
              </w:rPr>
              <w:t xml:space="preserve"> </w:t>
            </w:r>
            <w:r>
              <w:rPr>
                <w:lang w:val="ru-RU" w:eastAsia="ru-RU"/>
              </w:rPr>
              <w:t xml:space="preserve">правопорушень</w:t>
            </w:r>
            <w:r>
              <w:rPr>
                <w:lang w:val="ru-RU" w:eastAsia="ru-RU"/>
              </w:rPr>
              <w:t xml:space="preserve"> у </w:t>
            </w:r>
            <w:r>
              <w:rPr>
                <w:lang w:val="ru-RU" w:eastAsia="ru-RU"/>
              </w:rPr>
              <w:t xml:space="preserve">сфері</w:t>
            </w:r>
            <w:r>
              <w:rPr>
                <w:lang w:val="ru-RU" w:eastAsia="ru-RU"/>
              </w:rPr>
              <w:t xml:space="preserve"> </w:t>
            </w:r>
            <w:r>
              <w:rPr>
                <w:lang w:val="ru-RU" w:eastAsia="ru-RU"/>
              </w:rPr>
              <w:t xml:space="preserve">безпеки</w:t>
            </w:r>
            <w:r>
              <w:rPr>
                <w:lang w:val="ru-RU" w:eastAsia="ru-RU"/>
              </w:rPr>
              <w:t xml:space="preserve"> </w:t>
            </w:r>
            <w:r>
              <w:rPr>
                <w:lang w:val="ru-RU" w:eastAsia="ru-RU"/>
              </w:rPr>
              <w:t xml:space="preserve">дорожнього</w:t>
            </w:r>
            <w:r>
              <w:rPr>
                <w:lang w:val="ru-RU" w:eastAsia="ru-RU"/>
              </w:rPr>
              <w:t xml:space="preserve"> руху, </w:t>
            </w:r>
            <w:r>
              <w:rPr>
                <w:lang w:val="ru-RU" w:eastAsia="ru-RU"/>
              </w:rPr>
              <w:t xml:space="preserve">зафіксованих</w:t>
            </w:r>
            <w:r>
              <w:rPr>
                <w:lang w:val="ru-RU" w:eastAsia="ru-RU"/>
              </w:rPr>
              <w:t xml:space="preserve"> в автоматичному </w:t>
            </w:r>
            <w:r>
              <w:rPr>
                <w:lang w:val="ru-RU" w:eastAsia="ru-RU"/>
              </w:rPr>
              <w:t xml:space="preserve">режимі</w:t>
            </w:r>
            <w:r>
              <w:rPr>
                <w:lang w:val="ru-RU" w:eastAsia="ru-RU"/>
              </w:rPr>
              <w:t xml:space="preserve">, на </w:t>
            </w:r>
            <w:r>
              <w:rPr>
                <w:lang w:val="ru-RU" w:eastAsia="ru-RU"/>
              </w:rPr>
              <w:t xml:space="preserve">Сервісі</w:t>
            </w:r>
            <w:r>
              <w:rPr>
                <w:lang w:val="ru-RU" w:eastAsia="ru-RU"/>
              </w:rPr>
              <w:t xml:space="preserve"> </w:t>
            </w:r>
            <w:r>
              <w:rPr>
                <w:lang w:val="ru-RU" w:eastAsia="ru-RU"/>
              </w:rPr>
              <w:t xml:space="preserve">від</w:t>
            </w:r>
            <w:r>
              <w:rPr>
                <w:lang w:val="ru-RU" w:eastAsia="ru-RU"/>
              </w:rPr>
              <w:t xml:space="preserve"> </w:t>
            </w:r>
            <w:r>
              <w:rPr>
                <w:lang w:val="ru-RU" w:eastAsia="ru-RU"/>
              </w:rPr>
              <w:t xml:space="preserve">Платників</w:t>
            </w:r>
            <w:r>
              <w:rPr>
                <w:lang w:val="ru-RU" w:eastAsia="ru-RU"/>
              </w:rPr>
              <w:t xml:space="preserve"> і подальше </w:t>
            </w:r>
            <w:r>
              <w:rPr>
                <w:lang w:val="ru-RU" w:eastAsia="ru-RU"/>
              </w:rPr>
              <w:t xml:space="preserve">перерахування</w:t>
            </w:r>
            <w:r>
              <w:rPr>
                <w:lang w:val="ru-RU" w:eastAsia="ru-RU"/>
              </w:rPr>
              <w:t xml:space="preserve"> </w:t>
            </w:r>
            <w:r>
              <w:rPr>
                <w:lang w:val="ru-RU" w:eastAsia="ru-RU"/>
              </w:rPr>
              <w:t xml:space="preserve">коштів</w:t>
            </w:r>
            <w:r>
              <w:rPr>
                <w:lang w:val="ru-RU" w:eastAsia="ru-RU"/>
              </w:rPr>
              <w:t xml:space="preserve"> до Державного бюджету </w:t>
            </w:r>
            <w:r>
              <w:rPr>
                <w:lang w:val="ru-RU" w:eastAsia="ru-RU"/>
              </w:rPr>
              <w:t xml:space="preserve">України</w:t>
            </w:r>
            <w:r>
              <w:rPr>
                <w:lang w:val="ru-RU" w:eastAsia="ru-RU"/>
              </w:rPr>
              <w:t xml:space="preserve">, в тому </w:t>
            </w:r>
            <w:r>
              <w:rPr>
                <w:lang w:val="ru-RU" w:eastAsia="ru-RU"/>
              </w:rPr>
              <w:t xml:space="preserve">числі</w:t>
            </w:r>
            <w:r>
              <w:rPr>
                <w:lang w:val="ru-RU" w:eastAsia="ru-RU"/>
              </w:rPr>
              <w:t xml:space="preserve"> </w:t>
            </w:r>
            <w:r>
              <w:rPr>
                <w:lang w:val="ru-RU" w:eastAsia="ru-RU"/>
              </w:rPr>
              <w:t xml:space="preserve">здійснення</w:t>
            </w:r>
            <w:r>
              <w:rPr>
                <w:lang w:val="ru-RU" w:eastAsia="ru-RU"/>
              </w:rPr>
              <w:t xml:space="preserve"> </w:t>
            </w:r>
            <w:r>
              <w:rPr>
                <w:lang w:val="ru-RU" w:eastAsia="ru-RU"/>
              </w:rPr>
              <w:t xml:space="preserve">технологічного</w:t>
            </w:r>
            <w:r>
              <w:rPr>
                <w:lang w:val="ru-RU" w:eastAsia="ru-RU"/>
              </w:rPr>
              <w:t xml:space="preserve">, </w:t>
            </w:r>
            <w:r>
              <w:rPr>
                <w:lang w:val="ru-RU" w:eastAsia="ru-RU"/>
              </w:rPr>
              <w:t xml:space="preserve">інформаційного</w:t>
            </w:r>
            <w:r>
              <w:rPr>
                <w:lang w:val="ru-RU" w:eastAsia="ru-RU"/>
              </w:rPr>
              <w:t xml:space="preserve">, </w:t>
            </w:r>
            <w:r>
              <w:rPr>
                <w:lang w:val="ru-RU" w:eastAsia="ru-RU"/>
              </w:rPr>
              <w:t xml:space="preserve">допоміжного</w:t>
            </w:r>
            <w:r>
              <w:rPr>
                <w:lang w:val="ru-RU" w:eastAsia="ru-RU"/>
              </w:rPr>
              <w:t xml:space="preserve"> </w:t>
            </w:r>
            <w:r>
              <w:rPr>
                <w:lang w:val="ru-RU" w:eastAsia="ru-RU"/>
              </w:rPr>
              <w:t xml:space="preserve">обслуговування</w:t>
            </w:r>
            <w:r>
              <w:rPr>
                <w:lang w:val="ru-RU" w:eastAsia="ru-RU"/>
              </w:rPr>
              <w:t xml:space="preserve"> </w:t>
            </w:r>
            <w:r>
              <w:rPr>
                <w:lang w:val="ru-RU" w:eastAsia="ru-RU"/>
              </w:rPr>
              <w:t xml:space="preserve">переказу</w:t>
            </w:r>
            <w:r>
              <w:rPr>
                <w:lang w:val="ru-RU" w:eastAsia="ru-RU"/>
              </w:rPr>
              <w:t xml:space="preserve"> </w:t>
            </w:r>
            <w:r>
              <w:rPr>
                <w:lang w:val="ru-RU" w:eastAsia="ru-RU"/>
              </w:rPr>
              <w:t xml:space="preserve">коштів</w:t>
            </w:r>
            <w:r/>
          </w:p>
        </w:tc>
        <w:tc>
          <w:tcPr>
            <w:tcBorders>
              <w:top w:val="single" w:color="auto" w:sz="4" w:space="0"/>
              <w:left w:val="single" w:color="auto" w:sz="4" w:space="0"/>
              <w:bottom w:val="single" w:color="auto" w:sz="4" w:space="0"/>
              <w:right w:val="single" w:color="auto" w:sz="4" w:space="0"/>
            </w:tcBorders>
            <w:tcW w:w="1639" w:type="dxa"/>
            <w:vAlign w:val="center"/>
            <w:textDirection w:val="lrTb"/>
            <w:noWrap w:val="false"/>
          </w:tcPr>
          <w:p>
            <w:pPr>
              <w:pStyle w:val="695"/>
              <w:jc w:val="both"/>
              <w:rPr>
                <w:lang w:val="ru-RU"/>
              </w:rPr>
            </w:pPr>
            <w:r>
              <w:rPr>
                <w:lang w:val="ru-RU"/>
              </w:rPr>
              <w:t xml:space="preserve">посл.</w:t>
            </w:r>
            <w:r/>
          </w:p>
        </w:tc>
        <w:tc>
          <w:tcPr>
            <w:tcBorders>
              <w:top w:val="single" w:color="auto" w:sz="4" w:space="0"/>
              <w:left w:val="single" w:color="auto" w:sz="4" w:space="0"/>
              <w:bottom w:val="single" w:color="auto" w:sz="4" w:space="0"/>
              <w:right w:val="single" w:color="auto" w:sz="4" w:space="0"/>
            </w:tcBorders>
            <w:tcW w:w="1648" w:type="dxa"/>
            <w:vAlign w:val="center"/>
            <w:textDirection w:val="lrTb"/>
            <w:noWrap w:val="false"/>
          </w:tcPr>
          <w:p>
            <w:pPr>
              <w:pStyle w:val="695"/>
              <w:jc w:val="both"/>
              <w:rPr>
                <w:lang w:val="ru-RU"/>
              </w:rPr>
            </w:pPr>
            <w:r>
              <w:rPr>
                <w:b/>
                <w:lang w:val="ru-RU"/>
              </w:rPr>
              <w:t xml:space="preserve">1</w:t>
            </w:r>
            <w:r/>
          </w:p>
        </w:tc>
      </w:tr>
      <w:tr>
        <w:trPr/>
        <w:tc>
          <w:tcPr>
            <w:tcBorders>
              <w:top w:val="single" w:color="auto" w:sz="4" w:space="0"/>
              <w:left w:val="single" w:color="auto" w:sz="4" w:space="0"/>
              <w:bottom w:val="single" w:color="auto" w:sz="4" w:space="0"/>
              <w:right w:val="single" w:color="auto" w:sz="4" w:space="0"/>
            </w:tcBorders>
            <w:tcW w:w="918" w:type="dxa"/>
            <w:vAlign w:val="center"/>
            <w:textDirection w:val="lrTb"/>
            <w:noWrap w:val="false"/>
          </w:tcPr>
          <w:p>
            <w:pPr>
              <w:pStyle w:val="695"/>
              <w:jc w:val="both"/>
              <w:rPr>
                <w:b/>
                <w:bCs/>
                <w:lang w:val="ru-RU"/>
              </w:rPr>
            </w:pPr>
            <w:r>
              <w:rPr>
                <w:b/>
                <w:bCs/>
                <w:lang w:val="ru-RU"/>
              </w:rPr>
              <w:t xml:space="preserve">Лот 2</w:t>
            </w:r>
            <w:r/>
          </w:p>
        </w:tc>
        <w:tc>
          <w:tcPr>
            <w:tcBorders>
              <w:top w:val="single" w:color="auto" w:sz="4" w:space="0"/>
              <w:left w:val="single" w:color="auto" w:sz="4" w:space="0"/>
              <w:bottom w:val="single" w:color="auto" w:sz="4" w:space="0"/>
              <w:right w:val="single" w:color="auto" w:sz="4" w:space="0"/>
            </w:tcBorders>
            <w:tcW w:w="5429" w:type="dxa"/>
            <w:textDirection w:val="lrTb"/>
            <w:noWrap w:val="false"/>
          </w:tcPr>
          <w:p>
            <w:pPr>
              <w:pStyle w:val="695"/>
              <w:jc w:val="both"/>
              <w:rPr>
                <w:b/>
                <w:bCs/>
                <w:lang w:val="ru-RU"/>
              </w:rPr>
            </w:pPr>
            <w:r>
              <w:rPr>
                <w:lang w:val="ru-RU" w:eastAsia="ru-RU"/>
              </w:rPr>
              <w:t xml:space="preserve">Фінансові</w:t>
            </w:r>
            <w:r>
              <w:rPr>
                <w:lang w:val="ru-RU" w:eastAsia="ru-RU"/>
              </w:rPr>
              <w:t xml:space="preserve"> </w:t>
            </w:r>
            <w:r>
              <w:rPr>
                <w:lang w:val="ru-RU" w:eastAsia="ru-RU"/>
              </w:rPr>
              <w:t xml:space="preserve">послуги</w:t>
            </w:r>
            <w:r>
              <w:rPr>
                <w:lang w:val="ru-RU" w:eastAsia="ru-RU"/>
              </w:rPr>
              <w:t xml:space="preserve"> з </w:t>
            </w:r>
            <w:r>
              <w:rPr>
                <w:lang w:val="ru-RU" w:eastAsia="ru-RU"/>
              </w:rPr>
              <w:t xml:space="preserve">прийому</w:t>
            </w:r>
            <w:r>
              <w:rPr>
                <w:lang w:val="ru-RU" w:eastAsia="ru-RU"/>
              </w:rPr>
              <w:t xml:space="preserve"> </w:t>
            </w:r>
            <w:r>
              <w:rPr>
                <w:lang w:val="ru-RU" w:eastAsia="ru-RU"/>
              </w:rPr>
              <w:t xml:space="preserve">Платежів</w:t>
            </w:r>
            <w:r>
              <w:rPr>
                <w:lang w:val="ru-RU" w:eastAsia="ru-RU"/>
              </w:rPr>
              <w:t xml:space="preserve"> в </w:t>
            </w:r>
            <w:r>
              <w:rPr>
                <w:lang w:val="ru-RU" w:eastAsia="ru-RU"/>
              </w:rPr>
              <w:t xml:space="preserve">якості</w:t>
            </w:r>
            <w:r>
              <w:rPr>
                <w:lang w:val="ru-RU" w:eastAsia="ru-RU"/>
              </w:rPr>
              <w:t xml:space="preserve"> оплати </w:t>
            </w:r>
            <w:r>
              <w:rPr>
                <w:lang w:val="ru-RU" w:eastAsia="ru-RU"/>
              </w:rPr>
              <w:t xml:space="preserve">штрафів</w:t>
            </w:r>
            <w:r>
              <w:rPr>
                <w:lang w:val="ru-RU" w:eastAsia="ru-RU"/>
              </w:rPr>
              <w:t xml:space="preserve"> за постановами, </w:t>
            </w:r>
            <w:r>
              <w:rPr>
                <w:lang w:val="ru-RU" w:eastAsia="ru-RU"/>
              </w:rPr>
              <w:t xml:space="preserve">винесеними</w:t>
            </w:r>
            <w:r>
              <w:rPr>
                <w:lang w:val="ru-RU" w:eastAsia="ru-RU"/>
              </w:rPr>
              <w:t xml:space="preserve"> за </w:t>
            </w:r>
            <w:r>
              <w:rPr>
                <w:lang w:val="ru-RU" w:eastAsia="ru-RU"/>
              </w:rPr>
              <w:t xml:space="preserve">вчинення</w:t>
            </w:r>
            <w:r>
              <w:rPr>
                <w:lang w:val="ru-RU" w:eastAsia="ru-RU"/>
              </w:rPr>
              <w:t xml:space="preserve"> </w:t>
            </w:r>
            <w:r>
              <w:rPr>
                <w:lang w:val="ru-RU" w:eastAsia="ru-RU"/>
              </w:rPr>
              <w:t xml:space="preserve">адміністративних</w:t>
            </w:r>
            <w:r>
              <w:rPr>
                <w:lang w:val="ru-RU" w:eastAsia="ru-RU"/>
              </w:rPr>
              <w:t xml:space="preserve"> </w:t>
            </w:r>
            <w:r>
              <w:rPr>
                <w:lang w:val="ru-RU" w:eastAsia="ru-RU"/>
              </w:rPr>
              <w:t xml:space="preserve">правопорушень</w:t>
            </w:r>
            <w:r>
              <w:rPr>
                <w:lang w:val="ru-RU" w:eastAsia="ru-RU"/>
              </w:rPr>
              <w:t xml:space="preserve"> у </w:t>
            </w:r>
            <w:r>
              <w:rPr>
                <w:lang w:val="ru-RU" w:eastAsia="ru-RU"/>
              </w:rPr>
              <w:t xml:space="preserve">сфері</w:t>
            </w:r>
            <w:r>
              <w:rPr>
                <w:lang w:val="ru-RU" w:eastAsia="ru-RU"/>
              </w:rPr>
              <w:t xml:space="preserve"> </w:t>
            </w:r>
            <w:r>
              <w:rPr>
                <w:lang w:val="ru-RU" w:eastAsia="ru-RU"/>
              </w:rPr>
              <w:t xml:space="preserve">безпеки</w:t>
            </w:r>
            <w:r>
              <w:rPr>
                <w:lang w:val="ru-RU" w:eastAsia="ru-RU"/>
              </w:rPr>
              <w:t xml:space="preserve"> </w:t>
            </w:r>
            <w:r>
              <w:rPr>
                <w:lang w:val="ru-RU" w:eastAsia="ru-RU"/>
              </w:rPr>
              <w:t xml:space="preserve">дорожнього</w:t>
            </w:r>
            <w:r>
              <w:rPr>
                <w:lang w:val="ru-RU" w:eastAsia="ru-RU"/>
              </w:rPr>
              <w:t xml:space="preserve"> руху, </w:t>
            </w:r>
            <w:r>
              <w:rPr>
                <w:lang w:val="ru-RU" w:eastAsia="ru-RU"/>
              </w:rPr>
              <w:t xml:space="preserve">зафіксованих</w:t>
            </w:r>
            <w:r>
              <w:rPr>
                <w:lang w:val="ru-RU" w:eastAsia="ru-RU"/>
              </w:rPr>
              <w:t xml:space="preserve"> в автоматичному </w:t>
            </w:r>
            <w:r>
              <w:rPr>
                <w:lang w:val="ru-RU" w:eastAsia="ru-RU"/>
              </w:rPr>
              <w:t xml:space="preserve">режимі</w:t>
            </w:r>
            <w:r>
              <w:rPr>
                <w:lang w:val="ru-RU" w:eastAsia="ru-RU"/>
              </w:rPr>
              <w:t xml:space="preserve">, на </w:t>
            </w:r>
            <w:r>
              <w:rPr>
                <w:lang w:val="ru-RU" w:eastAsia="ru-RU"/>
              </w:rPr>
              <w:t xml:space="preserve">Сервісі</w:t>
            </w:r>
            <w:r>
              <w:rPr>
                <w:lang w:val="ru-RU" w:eastAsia="ru-RU"/>
              </w:rPr>
              <w:t xml:space="preserve"> </w:t>
            </w:r>
            <w:r>
              <w:rPr>
                <w:lang w:val="ru-RU" w:eastAsia="ru-RU"/>
              </w:rPr>
              <w:t xml:space="preserve">від</w:t>
            </w:r>
            <w:r>
              <w:rPr>
                <w:lang w:val="ru-RU" w:eastAsia="ru-RU"/>
              </w:rPr>
              <w:t xml:space="preserve"> </w:t>
            </w:r>
            <w:r>
              <w:rPr>
                <w:lang w:val="ru-RU" w:eastAsia="ru-RU"/>
              </w:rPr>
              <w:t xml:space="preserve">Платників</w:t>
            </w:r>
            <w:r>
              <w:rPr>
                <w:lang w:val="ru-RU" w:eastAsia="ru-RU"/>
              </w:rPr>
              <w:t xml:space="preserve"> і подальше </w:t>
            </w:r>
            <w:r>
              <w:rPr>
                <w:lang w:val="ru-RU" w:eastAsia="ru-RU"/>
              </w:rPr>
              <w:t xml:space="preserve">перерахування</w:t>
            </w:r>
            <w:r>
              <w:rPr>
                <w:lang w:val="ru-RU" w:eastAsia="ru-RU"/>
              </w:rPr>
              <w:t xml:space="preserve"> </w:t>
            </w:r>
            <w:r>
              <w:rPr>
                <w:lang w:val="ru-RU" w:eastAsia="ru-RU"/>
              </w:rPr>
              <w:t xml:space="preserve">коштів</w:t>
            </w:r>
            <w:r>
              <w:rPr>
                <w:lang w:val="ru-RU" w:eastAsia="ru-RU"/>
              </w:rPr>
              <w:t xml:space="preserve"> до Державного бюджету </w:t>
            </w:r>
            <w:r>
              <w:rPr>
                <w:lang w:val="ru-RU" w:eastAsia="ru-RU"/>
              </w:rPr>
              <w:t xml:space="preserve">України</w:t>
            </w:r>
            <w:r>
              <w:rPr>
                <w:lang w:val="ru-RU" w:eastAsia="ru-RU"/>
              </w:rPr>
              <w:t xml:space="preserve">, в тому </w:t>
            </w:r>
            <w:r>
              <w:rPr>
                <w:lang w:val="ru-RU" w:eastAsia="ru-RU"/>
              </w:rPr>
              <w:t xml:space="preserve">числі</w:t>
            </w:r>
            <w:r>
              <w:rPr>
                <w:lang w:val="ru-RU" w:eastAsia="ru-RU"/>
              </w:rPr>
              <w:t xml:space="preserve"> </w:t>
            </w:r>
            <w:r>
              <w:rPr>
                <w:lang w:val="ru-RU" w:eastAsia="ru-RU"/>
              </w:rPr>
              <w:t xml:space="preserve">здійснення</w:t>
            </w:r>
            <w:r>
              <w:rPr>
                <w:lang w:val="ru-RU" w:eastAsia="ru-RU"/>
              </w:rPr>
              <w:t xml:space="preserve"> </w:t>
            </w:r>
            <w:r>
              <w:rPr>
                <w:lang w:val="ru-RU" w:eastAsia="ru-RU"/>
              </w:rPr>
              <w:t xml:space="preserve">технологічного</w:t>
            </w:r>
            <w:r>
              <w:rPr>
                <w:lang w:val="ru-RU" w:eastAsia="ru-RU"/>
              </w:rPr>
              <w:t xml:space="preserve">, </w:t>
            </w:r>
            <w:r>
              <w:rPr>
                <w:lang w:val="ru-RU" w:eastAsia="ru-RU"/>
              </w:rPr>
              <w:t xml:space="preserve">інформаційного</w:t>
            </w:r>
            <w:r>
              <w:rPr>
                <w:lang w:val="ru-RU" w:eastAsia="ru-RU"/>
              </w:rPr>
              <w:t xml:space="preserve">, </w:t>
            </w:r>
            <w:r>
              <w:rPr>
                <w:lang w:val="ru-RU" w:eastAsia="ru-RU"/>
              </w:rPr>
              <w:t xml:space="preserve">допоміжного</w:t>
            </w:r>
            <w:r>
              <w:rPr>
                <w:lang w:val="ru-RU" w:eastAsia="ru-RU"/>
              </w:rPr>
              <w:t xml:space="preserve"> </w:t>
            </w:r>
            <w:r>
              <w:rPr>
                <w:lang w:val="ru-RU" w:eastAsia="ru-RU"/>
              </w:rPr>
              <w:t xml:space="preserve">обслуговування</w:t>
            </w:r>
            <w:r>
              <w:rPr>
                <w:lang w:val="ru-RU" w:eastAsia="ru-RU"/>
              </w:rPr>
              <w:t xml:space="preserve"> </w:t>
            </w:r>
            <w:r>
              <w:rPr>
                <w:lang w:val="ru-RU" w:eastAsia="ru-RU"/>
              </w:rPr>
              <w:t xml:space="preserve">переказу</w:t>
            </w:r>
            <w:r>
              <w:rPr>
                <w:lang w:val="ru-RU" w:eastAsia="ru-RU"/>
              </w:rPr>
              <w:t xml:space="preserve"> </w:t>
            </w:r>
            <w:r>
              <w:rPr>
                <w:lang w:val="ru-RU" w:eastAsia="ru-RU"/>
              </w:rPr>
              <w:t xml:space="preserve">коштів</w:t>
            </w:r>
            <w:r/>
          </w:p>
        </w:tc>
        <w:tc>
          <w:tcPr>
            <w:tcBorders>
              <w:top w:val="single" w:color="auto" w:sz="4" w:space="0"/>
              <w:left w:val="single" w:color="auto" w:sz="4" w:space="0"/>
              <w:bottom w:val="single" w:color="auto" w:sz="4" w:space="0"/>
              <w:right w:val="single" w:color="auto" w:sz="4" w:space="0"/>
            </w:tcBorders>
            <w:tcW w:w="1639" w:type="dxa"/>
            <w:vAlign w:val="center"/>
            <w:textDirection w:val="lrTb"/>
            <w:noWrap w:val="false"/>
          </w:tcPr>
          <w:p>
            <w:pPr>
              <w:pStyle w:val="695"/>
              <w:jc w:val="both"/>
              <w:rPr>
                <w:lang w:val="ru-RU"/>
              </w:rPr>
            </w:pPr>
            <w:r>
              <w:rPr>
                <w:lang w:val="ru-RU"/>
              </w:rPr>
              <w:t xml:space="preserve">посл.</w:t>
            </w:r>
            <w:r/>
          </w:p>
        </w:tc>
        <w:tc>
          <w:tcPr>
            <w:tcBorders>
              <w:top w:val="single" w:color="auto" w:sz="4" w:space="0"/>
              <w:left w:val="single" w:color="auto" w:sz="4" w:space="0"/>
              <w:bottom w:val="single" w:color="auto" w:sz="4" w:space="0"/>
              <w:right w:val="single" w:color="auto" w:sz="4" w:space="0"/>
            </w:tcBorders>
            <w:tcW w:w="1648" w:type="dxa"/>
            <w:vAlign w:val="center"/>
            <w:textDirection w:val="lrTb"/>
            <w:noWrap w:val="false"/>
          </w:tcPr>
          <w:p>
            <w:pPr>
              <w:pStyle w:val="695"/>
              <w:jc w:val="both"/>
              <w:rPr>
                <w:b/>
                <w:lang w:val="ru-RU"/>
              </w:rPr>
            </w:pPr>
            <w:r>
              <w:rPr>
                <w:b/>
                <w:lang w:val="ru-RU"/>
              </w:rPr>
              <w:t xml:space="preserve">1</w:t>
            </w:r>
            <w:r/>
          </w:p>
        </w:tc>
      </w:tr>
    </w:tbl>
    <w:p>
      <w:pPr>
        <w:pStyle w:val="695"/>
        <w:jc w:val="both"/>
        <w:spacing w:after="0" w:line="240" w:lineRule="auto"/>
        <w:rPr>
          <w:rFonts w:eastAsia="Times New Roman"/>
          <w:b/>
          <w:bCs/>
          <w:i/>
          <w:iCs/>
          <w:lang w:eastAsia="ru-RU"/>
        </w:rPr>
      </w:pPr>
      <w:r>
        <w:rPr>
          <w:rFonts w:eastAsia="Times New Roman"/>
          <w:b/>
          <w:bCs/>
          <w:i/>
          <w:iCs/>
          <w:lang w:eastAsia="ru-RU"/>
        </w:rPr>
      </w:r>
      <w:r/>
    </w:p>
    <w:p>
      <w:pPr>
        <w:pStyle w:val="695"/>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jc w:val="both"/>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Технічні вимоги до платіжного сервісу для Сервісу перевірки адміністративних правопорушень у сфері забезпечення безпеки дорожнього руху в автоматичному режимі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Вступ</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Цей документ містить технічні вимоги до платіжного сервісу, який планується бути підключеним до сервісу перевірки адміністративних правопорушень у сфері забезпечення безпеки дорожнього руху в автоматичному режимі (далі – Сервіс).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Метою підключення платіжного сервісу є забезпечення зручного, безпечного та надійного процесу сплати штрафів користувачами Сервісу.</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 Вимоги до платіжного сервісу</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 Ліцензія на переказ коштів</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Платіжний сервіс повинний здійснювати свою діяльність на підставі ліцензії Національного банку України (НБУ) на переказ коштів у національній валюті без відкриття рахунків</w:t>
      </w:r>
      <w:r>
        <w:rPr>
          <w:rFonts w:ascii="Times New Roman" w:hAnsi="Times New Roman" w:cs="Times New Roman"/>
          <w:b/>
          <w:bCs/>
          <w:i/>
          <w:iCs/>
          <w:sz w:val="24"/>
          <w:szCs w:val="24"/>
        </w:rPr>
        <w:t xml:space="preserve">. (надати копію підтверджуючого документу)</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2.2. Реєстрація у реєстрі платіжної інфраструктури</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Відомості про платіжний сервіс повинні бути внесені до Реєстру платіжної інфраструктури відповідно до вимог українського законодавства. </w:t>
      </w:r>
      <w:r>
        <w:rPr>
          <w:rFonts w:ascii="Times New Roman" w:hAnsi="Times New Roman" w:cs="Times New Roman"/>
          <w:b/>
          <w:bCs/>
          <w:i/>
          <w:iCs/>
          <w:sz w:val="24"/>
          <w:szCs w:val="24"/>
        </w:rPr>
        <w:t xml:space="preserve">(надати копію підтверджуючого документу)</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2.3. Відповідність вимогам законодавства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Діяльність платіжн</w:t>
      </w:r>
      <w:r>
        <w:rPr>
          <w:rFonts w:ascii="Times New Roman" w:hAnsi="Times New Roman" w:cs="Times New Roman"/>
          <w:sz w:val="24"/>
          <w:szCs w:val="24"/>
        </w:rPr>
        <w:t xml:space="preserve">ого сервісу має повністю відповідати вимогам законодавства України, зокрема стосовно операцій з переказу коштів, обробки особистих даних та забезпечення безпеки. Платіжний сервіс повинний відповідати зокрема й вимогам Закону України «Про платіжні послуги».</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2.4. Автоматичний режим</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Платіжний сервіс має підтримувати автоматичний режим для забезпечення швидкої та безперебійної обробки платежів, здійснених користувачами сервісу перевірки правопорушень. Наявність </w:t>
      </w:r>
      <w:r>
        <w:rPr>
          <w:rFonts w:ascii="Times New Roman" w:hAnsi="Times New Roman" w:cs="Times New Roman"/>
          <w:sz w:val="24"/>
          <w:szCs w:val="24"/>
        </w:rPr>
        <w:t xml:space="preserve">антифрод</w:t>
      </w:r>
      <w:r>
        <w:rPr>
          <w:rFonts w:ascii="Times New Roman" w:hAnsi="Times New Roman" w:cs="Times New Roman"/>
          <w:sz w:val="24"/>
          <w:szCs w:val="24"/>
        </w:rPr>
        <w:t xml:space="preserve"> моніторингу. </w:t>
      </w:r>
      <w:r>
        <w:rPr>
          <w:rFonts w:ascii="Times New Roman" w:hAnsi="Times New Roman" w:cs="Times New Roman"/>
          <w:b/>
          <w:bCs/>
          <w:i/>
          <w:iCs/>
          <w:sz w:val="24"/>
          <w:szCs w:val="24"/>
        </w:rPr>
        <w:t xml:space="preserve">(надати копію підтверджуючого документу та/або гарантійний лист)</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2.5. Захист даних та безпека</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Платіжний сервіс повинний гарантувати надійний рівень захисту особистих даних користувачів, зокрема під час здійснення оплати штрафів через Сервіс. Використання шифрування, </w:t>
      </w:r>
      <w:r>
        <w:rPr>
          <w:rFonts w:ascii="Times New Roman" w:hAnsi="Times New Roman" w:cs="Times New Roman"/>
          <w:sz w:val="24"/>
          <w:szCs w:val="24"/>
        </w:rPr>
        <w:t xml:space="preserve">двофакторної</w:t>
      </w:r>
      <w:r>
        <w:rPr>
          <w:rFonts w:ascii="Times New Roman" w:hAnsi="Times New Roman" w:cs="Times New Roman"/>
          <w:sz w:val="24"/>
          <w:szCs w:val="24"/>
        </w:rPr>
        <w:t xml:space="preserve"> аутентифікації та безпечних протоколів передачі даних є обов’язковим. </w:t>
      </w:r>
      <w:r>
        <w:rPr>
          <w:rFonts w:ascii="Times New Roman" w:hAnsi="Times New Roman" w:cs="Times New Roman"/>
          <w:b/>
          <w:bCs/>
          <w:i/>
          <w:iCs/>
          <w:sz w:val="24"/>
          <w:szCs w:val="24"/>
        </w:rPr>
        <w:t xml:space="preserve">(надати копію підтверджуючого документу та/або гарантійний лист)</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2.6. Підтримка різних платіжних засобів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Платіжний сервіс повинний підтримувати до оплати: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платіжні картки: НПС «ПРОСТІР», </w:t>
      </w:r>
      <w:r>
        <w:rPr>
          <w:rFonts w:ascii="Times New Roman" w:hAnsi="Times New Roman" w:cs="Times New Roman"/>
          <w:sz w:val="24"/>
          <w:szCs w:val="24"/>
        </w:rPr>
        <w:t xml:space="preserve">Mastercard</w:t>
      </w:r>
      <w:r>
        <w:rPr>
          <w:rFonts w:ascii="Times New Roman" w:hAnsi="Times New Roman" w:cs="Times New Roman"/>
          <w:sz w:val="24"/>
          <w:szCs w:val="24"/>
        </w:rPr>
        <w:t xml:space="preserve">, </w:t>
      </w:r>
      <w:r>
        <w:rPr>
          <w:rFonts w:ascii="Times New Roman" w:hAnsi="Times New Roman" w:cs="Times New Roman"/>
          <w:sz w:val="24"/>
          <w:szCs w:val="24"/>
        </w:rPr>
        <w:t xml:space="preserve">Visa</w:t>
      </w:r>
      <w:r>
        <w:rPr>
          <w:rFonts w:ascii="Times New Roman" w:hAnsi="Times New Roman" w:cs="Times New Roman"/>
          <w:sz w:val="24"/>
          <w:szCs w:val="24"/>
        </w:rPr>
        <w:t xml:space="preserve">;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системи: GOOGLE PAY, </w:t>
      </w:r>
      <w:r>
        <w:rPr>
          <w:rFonts w:ascii="Times New Roman" w:hAnsi="Times New Roman" w:cs="Times New Roman"/>
          <w:sz w:val="24"/>
          <w:szCs w:val="24"/>
        </w:rPr>
        <w:t xml:space="preserve">Apple</w:t>
      </w:r>
      <w:r>
        <w:rPr>
          <w:rFonts w:ascii="Times New Roman" w:hAnsi="Times New Roman" w:cs="Times New Roman"/>
          <w:sz w:val="24"/>
          <w:szCs w:val="24"/>
        </w:rPr>
        <w:t xml:space="preserve"> PAY,</w:t>
      </w:r>
      <w:r/>
    </w:p>
    <w:p>
      <w:pPr>
        <w:jc w:val="both"/>
        <w:spacing w:after="0" w:line="240" w:lineRule="auto"/>
        <w:rPr>
          <w:rFonts w:ascii="Times New Roman" w:hAnsi="Times New Roman" w:cs="Times New Roman"/>
          <w:sz w:val="24"/>
          <w:szCs w:val="24"/>
        </w:rPr>
      </w:pPr>
      <w:r>
        <w:rPr>
          <w:rFonts w:ascii="Times New Roman" w:hAnsi="Times New Roman" w:eastAsia="Times" w:cs="Times New Roman"/>
          <w:color w:val="000000"/>
          <w:sz w:val="24"/>
          <w:szCs w:val="24"/>
        </w:rPr>
        <w:t xml:space="preserve">через веб-сторінку www.bdr.mvs.gov.ua, мобільні додатки «Штрафи ПДР», що розроблені на операційних системах </w:t>
      </w:r>
      <w:r>
        <w:rPr>
          <w:rFonts w:ascii="Times New Roman" w:hAnsi="Times New Roman" w:eastAsia="Times" w:cs="Times New Roman"/>
          <w:color w:val="000000"/>
          <w:sz w:val="24"/>
          <w:szCs w:val="24"/>
        </w:rPr>
        <w:t xml:space="preserve">Android</w:t>
      </w:r>
      <w:r>
        <w:rPr>
          <w:rFonts w:ascii="Times New Roman" w:hAnsi="Times New Roman" w:eastAsia="Times" w:cs="Times New Roman"/>
          <w:color w:val="000000"/>
          <w:sz w:val="24"/>
          <w:szCs w:val="24"/>
        </w:rPr>
        <w:t xml:space="preserve"> та IOS та телеграм-бот.</w:t>
      </w:r>
      <w:r/>
    </w:p>
    <w:p>
      <w:pPr>
        <w:jc w:val="both"/>
        <w:spacing w:after="0" w:line="240" w:lineRule="auto"/>
        <w:rPr>
          <w:rFonts w:ascii="Times New Roman" w:hAnsi="Times New Roman" w:cs="Times New Roman"/>
          <w:b/>
          <w:bCs/>
          <w:i/>
          <w:iCs/>
          <w:sz w:val="24"/>
          <w:szCs w:val="24"/>
        </w:rPr>
      </w:pPr>
      <w:r>
        <w:rPr>
          <w:rFonts w:ascii="Times New Roman" w:hAnsi="Times New Roman" w:eastAsia="Times" w:cs="Times New Roman"/>
          <w:sz w:val="24"/>
          <w:szCs w:val="24"/>
        </w:rPr>
        <w:t xml:space="preserve">Підтримка повернення грошових коштів у відповідності до чинних правил міжнародних платіжних систем. </w:t>
      </w:r>
      <w:r>
        <w:rPr>
          <w:rFonts w:ascii="Times New Roman" w:hAnsi="Times New Roman" w:cs="Times New Roman"/>
          <w:b/>
          <w:bCs/>
          <w:i/>
          <w:iCs/>
          <w:sz w:val="24"/>
          <w:szCs w:val="24"/>
        </w:rPr>
        <w:t xml:space="preserve">(надати копію підтверджуючого документу та/або гарантійний лист)</w:t>
      </w:r>
      <w:r/>
    </w:p>
    <w:p>
      <w:pPr>
        <w:jc w:val="both"/>
        <w:spacing w:after="0" w:line="240" w:lineRule="auto"/>
        <w:rPr>
          <w:rFonts w:ascii="Times New Roman" w:hAnsi="Times New Roman" w:cs="Times New Roman"/>
          <w:sz w:val="24"/>
          <w:szCs w:val="24"/>
          <w:highlight w:val="green"/>
        </w:rPr>
      </w:pPr>
      <w:r>
        <w:rPr>
          <w:rFonts w:ascii="Times New Roman" w:hAnsi="Times New Roman" w:cs="Times New Roman"/>
          <w:b/>
          <w:sz w:val="24"/>
          <w:szCs w:val="24"/>
        </w:rPr>
        <w:t xml:space="preserve">2.7. Можливість встановлення комісії за здійснення платежів для платника.</w:t>
      </w:r>
      <w:r/>
    </w:p>
    <w:p>
      <w:pPr>
        <w:jc w:val="both"/>
        <w:spacing w:after="0" w:line="240" w:lineRule="auto"/>
        <w:rPr>
          <w:rFonts w:ascii="Times New Roman" w:hAnsi="Times New Roman" w:cs="Times New Roman"/>
          <w:b/>
          <w:bCs/>
          <w:i/>
          <w:iCs/>
          <w:sz w:val="24"/>
          <w:szCs w:val="24"/>
        </w:rPr>
      </w:pPr>
      <w:r/>
      <w:bookmarkStart w:id="1" w:name="_Hlk143269452"/>
      <w:r>
        <w:rPr>
          <w:rFonts w:ascii="Times New Roman" w:hAnsi="Times New Roman" w:cs="Times New Roman"/>
          <w:b/>
          <w:bCs/>
          <w:i/>
          <w:iCs/>
          <w:sz w:val="24"/>
          <w:szCs w:val="24"/>
        </w:rPr>
        <w:t xml:space="preserve">ЛОТ 1: Платіжний сервіс повинний встановлювати найменший відсоток комісії для платника (не вище 1% + не більше 8 грн (вісім гривень 00 копійок) від суми переказу) за </w:t>
      </w:r>
      <w:r>
        <w:rPr>
          <w:rFonts w:ascii="Times New Roman" w:hAnsi="Times New Roman" w:cs="Times New Roman"/>
          <w:b/>
          <w:bCs/>
          <w:i/>
          <w:iCs/>
          <w:sz w:val="24"/>
          <w:szCs w:val="24"/>
        </w:rPr>
        <w:t xml:space="preserve">оплату штрафів серед доступних на ринку аналогічних платіжних сервісів (за кожен переказ коштів платником).</w:t>
      </w:r>
      <w:r/>
    </w:p>
    <w:p>
      <w:pPr>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ЛОТ 2:  Платіжний </w:t>
      </w:r>
      <w:r>
        <w:rPr>
          <w:rFonts w:ascii="Times New Roman" w:hAnsi="Times New Roman" w:cs="Times New Roman"/>
          <w:b/>
          <w:bCs/>
          <w:i/>
          <w:iCs/>
          <w:sz w:val="24"/>
          <w:szCs w:val="24"/>
        </w:rPr>
        <w:t xml:space="preserve">сервіс повинний встановлювати найменший відсоток комісії для платника (не вище 2% + не більше 6 грн (шість гривень 00 копійок) від суми переказу) за оплату штрафів серед доступних на ринку аналогічних платіжних сервісів (за кожен переказ коштів платником).</w:t>
      </w:r>
      <w:bookmarkEnd w:id="1"/>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2.8. Сервісна підтримка користувачів сервісу та Замовника </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Платіжний сервіс повинний забезпечувати надійну та оперативну підтримку користувачів Сервісу та Замовника, включаючи вирішення питань, пов'язаних з </w:t>
      </w:r>
      <w:r>
        <w:rPr>
          <w:rFonts w:ascii="Times New Roman" w:hAnsi="Times New Roman" w:cs="Times New Roman"/>
          <w:sz w:val="24"/>
          <w:szCs w:val="24"/>
        </w:rPr>
        <w:t xml:space="preserve">платежами</w:t>
      </w:r>
      <w:r>
        <w:rPr>
          <w:rFonts w:ascii="Times New Roman" w:hAnsi="Times New Roman" w:cs="Times New Roman"/>
          <w:sz w:val="24"/>
          <w:szCs w:val="24"/>
        </w:rPr>
        <w:t xml:space="preserve"> та іншими аспектами використання за принципом «24/7» </w:t>
      </w:r>
      <w:r>
        <w:rPr>
          <w:rFonts w:ascii="Times New Roman" w:hAnsi="Times New Roman" w:cs="Times New Roman"/>
          <w:b/>
          <w:bCs/>
          <w:i/>
          <w:iCs/>
          <w:sz w:val="24"/>
          <w:szCs w:val="24"/>
        </w:rPr>
        <w:t xml:space="preserve">(надати копію підтверджуючого документу та/або гарантійний лист)</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2.9. Дотримання вимог міжнародних платіжних сервісів</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Платіжний сервіс повинний дотримуватися вимог міжнародних платіжних сервісів, які забезпечують безпеку та надійність операцій. </w:t>
      </w:r>
      <w:r>
        <w:rPr>
          <w:rFonts w:ascii="Times New Roman" w:hAnsi="Times New Roman" w:cs="Times New Roman"/>
          <w:b/>
          <w:bCs/>
          <w:i/>
          <w:iCs/>
          <w:sz w:val="24"/>
          <w:szCs w:val="24"/>
        </w:rPr>
        <w:t xml:space="preserve">(надати копію підтверджуючого документу та/або гарантійний лист)</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2.10. Сертифікат погодження PCI DSS</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Платіжний сервіс повинний мати Сертифікат погодження PCI DSS (</w:t>
      </w:r>
      <w:r>
        <w:rPr>
          <w:rFonts w:ascii="Times New Roman" w:hAnsi="Times New Roman" w:cs="Times New Roman"/>
          <w:sz w:val="24"/>
          <w:szCs w:val="24"/>
        </w:rPr>
        <w:t xml:space="preserve">Payment</w:t>
      </w:r>
      <w:r>
        <w:rPr>
          <w:rFonts w:ascii="Times New Roman" w:hAnsi="Times New Roman" w:cs="Times New Roman"/>
          <w:sz w:val="24"/>
          <w:szCs w:val="24"/>
        </w:rPr>
        <w:t xml:space="preserve"> </w:t>
      </w:r>
      <w:r>
        <w:rPr>
          <w:rFonts w:ascii="Times New Roman" w:hAnsi="Times New Roman" w:cs="Times New Roman"/>
          <w:sz w:val="24"/>
          <w:szCs w:val="24"/>
        </w:rPr>
        <w:t xml:space="preserve">Card</w:t>
      </w:r>
      <w:r>
        <w:rPr>
          <w:rFonts w:ascii="Times New Roman" w:hAnsi="Times New Roman" w:cs="Times New Roman"/>
          <w:sz w:val="24"/>
          <w:szCs w:val="24"/>
        </w:rPr>
        <w:t xml:space="preserve"> </w:t>
      </w:r>
      <w:r>
        <w:rPr>
          <w:rFonts w:ascii="Times New Roman" w:hAnsi="Times New Roman" w:cs="Times New Roman"/>
          <w:sz w:val="24"/>
          <w:szCs w:val="24"/>
        </w:rPr>
        <w:t xml:space="preserve">Industry</w:t>
      </w:r>
      <w:r>
        <w:rPr>
          <w:rFonts w:ascii="Times New Roman" w:hAnsi="Times New Roman" w:cs="Times New Roman"/>
          <w:sz w:val="24"/>
          <w:szCs w:val="24"/>
        </w:rPr>
        <w:t xml:space="preserve"> </w:t>
      </w:r>
      <w:r>
        <w:rPr>
          <w:rFonts w:ascii="Times New Roman" w:hAnsi="Times New Roman" w:cs="Times New Roman"/>
          <w:sz w:val="24"/>
          <w:szCs w:val="24"/>
        </w:rPr>
        <w:t xml:space="preserve">Data</w:t>
      </w:r>
      <w:r>
        <w:rPr>
          <w:rFonts w:ascii="Times New Roman" w:hAnsi="Times New Roman" w:cs="Times New Roman"/>
          <w:sz w:val="24"/>
          <w:szCs w:val="24"/>
        </w:rPr>
        <w:t xml:space="preserve"> </w:t>
      </w:r>
      <w:r>
        <w:rPr>
          <w:rFonts w:ascii="Times New Roman" w:hAnsi="Times New Roman" w:cs="Times New Roman"/>
          <w:sz w:val="24"/>
          <w:szCs w:val="24"/>
        </w:rPr>
        <w:t xml:space="preserve">Security</w:t>
      </w:r>
      <w:r>
        <w:rPr>
          <w:rFonts w:ascii="Times New Roman" w:hAnsi="Times New Roman" w:cs="Times New Roman"/>
          <w:sz w:val="24"/>
          <w:szCs w:val="24"/>
        </w:rPr>
        <w:t xml:space="preserve"> Standard / Стандарт безпеки даних індустрії платіжних карток) </w:t>
      </w:r>
      <w:r>
        <w:rPr>
          <w:rFonts w:ascii="Times New Roman" w:hAnsi="Times New Roman" w:eastAsia="Times" w:cs="Times New Roman"/>
          <w:sz w:val="24"/>
          <w:szCs w:val="24"/>
        </w:rPr>
        <w:t xml:space="preserve">категорії </w:t>
      </w:r>
      <w:r>
        <w:rPr>
          <w:rFonts w:ascii="Times New Roman" w:hAnsi="Times New Roman" w:eastAsia="Times" w:cs="Times New Roman"/>
          <w:sz w:val="24"/>
          <w:szCs w:val="24"/>
        </w:rPr>
        <w:t xml:space="preserve">ServiceProviderLevel</w:t>
      </w:r>
      <w:r>
        <w:rPr>
          <w:rFonts w:ascii="Times New Roman" w:hAnsi="Times New Roman" w:eastAsia="Times" w:cs="Times New Roman"/>
          <w:sz w:val="24"/>
          <w:szCs w:val="24"/>
        </w:rPr>
        <w:t xml:space="preserve"> 1</w:t>
      </w:r>
      <w:r>
        <w:rPr>
          <w:rFonts w:ascii="Times New Roman" w:hAnsi="Times New Roman" w:cs="Times New Roman"/>
          <w:sz w:val="24"/>
          <w:szCs w:val="24"/>
        </w:rPr>
        <w:t xml:space="preserve">, що підтверджує відповідність вимогам безпеки платіжних карток. </w:t>
      </w:r>
      <w:r>
        <w:rPr>
          <w:rFonts w:ascii="Times New Roman" w:hAnsi="Times New Roman" w:cs="Times New Roman"/>
          <w:b/>
          <w:bCs/>
          <w:i/>
          <w:iCs/>
          <w:sz w:val="24"/>
          <w:szCs w:val="24"/>
        </w:rPr>
        <w:t xml:space="preserve">(надати копію підтверджуючого документу)</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2.11. Досвід роботи </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Наявність досвіду роботи на ринку електронної комерції з крупними клієнтами (оборот коштів від 50 000 000 грн. на місяць). Можливість обробки від 10 000 транзакцій (за платіжними картками) на годину. </w:t>
      </w:r>
      <w:r>
        <w:rPr>
          <w:rFonts w:ascii="Times New Roman" w:hAnsi="Times New Roman" w:cs="Times New Roman"/>
          <w:b/>
          <w:bCs/>
          <w:i/>
          <w:iCs/>
          <w:sz w:val="24"/>
          <w:szCs w:val="24"/>
        </w:rPr>
        <w:t xml:space="preserve">(надати копію підтверджуючого документу та/або гарантійний лист)</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2.12 Строки проведення переказу коштів за допомогою платіжних інструментів.</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Щоденна відправка коштів, що сплачуються клієнтами, на рахунки за вказаними реквізитами до Державної казначейської служби. </w:t>
      </w:r>
      <w:r>
        <w:rPr>
          <w:rFonts w:ascii="Times New Roman" w:hAnsi="Times New Roman" w:cs="Times New Roman"/>
          <w:b/>
          <w:bCs/>
          <w:i/>
          <w:iCs/>
          <w:sz w:val="24"/>
          <w:szCs w:val="24"/>
        </w:rPr>
        <w:t xml:space="preserve">(надати копію підтверджуючого документу та/або гарантійний лист)</w:t>
      </w:r>
      <w:r/>
    </w:p>
    <w:p>
      <w:pPr>
        <w:ind w:right="43"/>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2.13 Конверсія.</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Рівень конверсії платежів більше 95% (до неуспішних операцій враховуються лише операції, відмова за якими відбулася з технічних причин на боці </w:t>
      </w:r>
      <w:r>
        <w:rPr>
          <w:rFonts w:ascii="Times New Roman" w:hAnsi="Times New Roman" w:cs="Times New Roman"/>
          <w:sz w:val="24"/>
          <w:szCs w:val="24"/>
        </w:rPr>
        <w:t xml:space="preserve">еквайра</w:t>
      </w:r>
      <w:r>
        <w:rPr>
          <w:rFonts w:ascii="Times New Roman" w:hAnsi="Times New Roman" w:cs="Times New Roman"/>
          <w:sz w:val="24"/>
          <w:szCs w:val="24"/>
        </w:rPr>
        <w:t xml:space="preserve">). </w:t>
      </w:r>
      <w:r>
        <w:rPr>
          <w:rFonts w:ascii="Times New Roman" w:hAnsi="Times New Roman" w:cs="Times New Roman"/>
          <w:b/>
          <w:bCs/>
          <w:i/>
          <w:iCs/>
          <w:sz w:val="24"/>
          <w:szCs w:val="24"/>
        </w:rPr>
        <w:t xml:space="preserve">(надати копію підтверджуючого документу та/або гарантійний лист)</w:t>
      </w:r>
      <w:r/>
    </w:p>
    <w:p>
      <w:pPr>
        <w:ind w:right="43"/>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2.14 Протокол взаємодії</w:t>
      </w:r>
      <w:r/>
    </w:p>
    <w:p>
      <w:pPr>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rPr>
        <w:t xml:space="preserve">Платіжний сервіс повинен мати актуальний протокол взаємодії (API) між платіжним сервісом та Сервісом, який підтримує вище зазначені вимоги щодо здійснення </w:t>
      </w:r>
      <w:r>
        <w:rPr>
          <w:rFonts w:ascii="Times New Roman" w:hAnsi="Times New Roman" w:cs="Times New Roman"/>
          <w:sz w:val="24"/>
          <w:szCs w:val="24"/>
        </w:rPr>
        <w:t xml:space="preserve">оплат</w:t>
      </w:r>
      <w:r>
        <w:rPr>
          <w:rFonts w:ascii="Times New Roman" w:hAnsi="Times New Roman" w:cs="Times New Roman"/>
          <w:sz w:val="24"/>
          <w:szCs w:val="24"/>
        </w:rPr>
        <w:t xml:space="preserve">. Механізм інформаційного обміну повинен враховувати наступний алгоритм взаємодії та вимоги що його реалізації: обмін інформаційними повідомленнями здійснюється відповідно до протоколу HTTPS. Для авторизації як повідомлення, так і відповіді, </w:t>
      </w:r>
      <w:r>
        <w:rPr>
          <w:rFonts w:ascii="Times New Roman" w:hAnsi="Times New Roman" w:cs="Times New Roman"/>
          <w:sz w:val="24"/>
          <w:szCs w:val="24"/>
        </w:rPr>
        <w:t xml:space="preserve">застосоується</w:t>
      </w:r>
      <w:r>
        <w:rPr>
          <w:rFonts w:ascii="Times New Roman" w:hAnsi="Times New Roman" w:cs="Times New Roman"/>
          <w:sz w:val="24"/>
          <w:szCs w:val="24"/>
        </w:rPr>
        <w:t xml:space="preserve"> алгоритм RSA із довжиною ключа не </w:t>
      </w:r>
      <w:r>
        <w:rPr>
          <w:rFonts w:ascii="Times New Roman" w:hAnsi="Times New Roman" w:cs="Times New Roman"/>
          <w:sz w:val="24"/>
          <w:szCs w:val="24"/>
        </w:rPr>
        <w:t xml:space="preserve">меньше</w:t>
      </w:r>
      <w:r>
        <w:rPr>
          <w:rFonts w:ascii="Times New Roman" w:hAnsi="Times New Roman" w:cs="Times New Roman"/>
          <w:sz w:val="24"/>
          <w:szCs w:val="24"/>
        </w:rPr>
        <w:t xml:space="preserve"> 2048 біт. Сервіс формує дані для здійснення оплати (необхідна сума, призначення платежу, реквізити отримувача платежу -</w:t>
      </w:r>
      <w:r>
        <w:rPr>
          <w:rFonts w:ascii="Times New Roman" w:hAnsi="Times New Roman" w:cs="Times New Roman"/>
          <w:sz w:val="24"/>
          <w:szCs w:val="24"/>
        </w:rPr>
        <w:t xml:space="preserve"> ЄДРПОУ, МФО, IBAN, назва), та надсилає їх на платіжний шлюз. Платіжний шлюз перевіряє отримані дані, та у відповідь повертає одноразове посилання, на яке Сервіс перенаправляє користувача для здійснення оплати. Після закінчення оплати, користувач має бути </w:t>
      </w:r>
      <w:r>
        <w:rPr>
          <w:rFonts w:ascii="Times New Roman" w:hAnsi="Times New Roman" w:cs="Times New Roman"/>
          <w:sz w:val="24"/>
          <w:szCs w:val="24"/>
        </w:rPr>
        <w:t xml:space="preserve">перенаправлений</w:t>
      </w:r>
      <w:r>
        <w:rPr>
          <w:rFonts w:ascii="Times New Roman" w:hAnsi="Times New Roman" w:cs="Times New Roman"/>
          <w:sz w:val="24"/>
          <w:szCs w:val="24"/>
        </w:rPr>
        <w:t xml:space="preserve"> на Сервіс, а платіжний шлюз повинен передати Сервіс результат оплати (статус, успішність, дата</w:t>
      </w:r>
      <w:r>
        <w:rPr>
          <w:rFonts w:ascii="Times New Roman" w:hAnsi="Times New Roman" w:cs="Times New Roman"/>
          <w:sz w:val="24"/>
          <w:szCs w:val="24"/>
        </w:rPr>
        <w:t xml:space="preserve"> та час, текстовий опис причини відмови, якщо є). Для зарахування необхідної суми оплати, не пізніше ніж наступного робочого дня після дня здійснення оплати, платіжний шлюз повинен забезпечити передачу відомостей про здійснену оплату до платіжної системи. </w:t>
      </w:r>
      <w:r>
        <w:rPr>
          <w:rFonts w:ascii="Times New Roman" w:hAnsi="Times New Roman" w:cs="Times New Roman"/>
          <w:b/>
          <w:bCs/>
          <w:i/>
          <w:iCs/>
          <w:sz w:val="24"/>
          <w:szCs w:val="24"/>
        </w:rPr>
        <w:t xml:space="preserve">(надати копію підтверджуючого документу та/або гарантійний лист)</w:t>
      </w:r>
      <w:r/>
    </w:p>
    <w:p>
      <w:pPr>
        <w:contextualSpacing/>
        <w:jc w:val="both"/>
        <w:shd w:val="clear" w:color="auto" w:fill="ffffff"/>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одна</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w:t>
      </w:r>
      <w:r>
        <w:rPr>
          <w:rFonts w:ascii="Times New Roman" w:hAnsi="Times New Roman" w:eastAsia="Times New Roman" w:cs="Times New Roman"/>
          <w:sz w:val="24"/>
          <w:szCs w:val="24"/>
          <w:lang w:eastAsia="ru-RU"/>
        </w:rPr>
        <w:t xml:space="preserve">технічного завдання наданого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font>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9">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15"/>
  </w:num>
  <w:num w:numId="2">
    <w:abstractNumId w:val="11"/>
  </w:num>
  <w:num w:numId="3">
    <w:abstractNumId w:val="6"/>
  </w:num>
  <w:num w:numId="4">
    <w:abstractNumId w:val="13"/>
  </w:num>
  <w:num w:numId="5">
    <w:abstractNumId w:val="5"/>
  </w:num>
  <w:num w:numId="6">
    <w:abstractNumId w:val="16"/>
  </w:num>
  <w:num w:numId="7">
    <w:abstractNumId w:val="8"/>
  </w:num>
  <w:num w:numId="8">
    <w:abstractNumId w:val="18"/>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1"/>
  </w:num>
  <w:num w:numId="18">
    <w:abstractNumId w:val="19"/>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6"/>
    <w:next w:val="686"/>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8"/>
    <w:link w:val="12"/>
    <w:uiPriority w:val="9"/>
    <w:rPr>
      <w:rFonts w:ascii="Arial" w:hAnsi="Arial" w:eastAsia="Arial" w:cs="Arial"/>
      <w:sz w:val="40"/>
      <w:szCs w:val="40"/>
    </w:rPr>
  </w:style>
  <w:style w:type="character" w:styleId="15">
    <w:name w:val="Heading 2 Char"/>
    <w:basedOn w:val="688"/>
    <w:link w:val="687"/>
    <w:uiPriority w:val="9"/>
    <w:rPr>
      <w:rFonts w:ascii="Arial" w:hAnsi="Arial" w:eastAsia="Arial" w:cs="Arial"/>
      <w:sz w:val="34"/>
    </w:rPr>
  </w:style>
  <w:style w:type="paragraph" w:styleId="16">
    <w:name w:val="Heading 3"/>
    <w:basedOn w:val="686"/>
    <w:next w:val="686"/>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8"/>
    <w:link w:val="16"/>
    <w:uiPriority w:val="9"/>
    <w:rPr>
      <w:rFonts w:ascii="Arial" w:hAnsi="Arial" w:eastAsia="Arial" w:cs="Arial"/>
      <w:sz w:val="30"/>
      <w:szCs w:val="30"/>
    </w:rPr>
  </w:style>
  <w:style w:type="paragraph" w:styleId="18">
    <w:name w:val="Heading 4"/>
    <w:basedOn w:val="686"/>
    <w:next w:val="68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8"/>
    <w:link w:val="18"/>
    <w:uiPriority w:val="9"/>
    <w:rPr>
      <w:rFonts w:ascii="Arial" w:hAnsi="Arial" w:eastAsia="Arial" w:cs="Arial"/>
      <w:b/>
      <w:bCs/>
      <w:sz w:val="26"/>
      <w:szCs w:val="26"/>
    </w:rPr>
  </w:style>
  <w:style w:type="paragraph" w:styleId="20">
    <w:name w:val="Heading 5"/>
    <w:basedOn w:val="686"/>
    <w:next w:val="68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8"/>
    <w:link w:val="20"/>
    <w:uiPriority w:val="9"/>
    <w:rPr>
      <w:rFonts w:ascii="Arial" w:hAnsi="Arial" w:eastAsia="Arial" w:cs="Arial"/>
      <w:b/>
      <w:bCs/>
      <w:sz w:val="24"/>
      <w:szCs w:val="24"/>
    </w:rPr>
  </w:style>
  <w:style w:type="paragraph" w:styleId="22">
    <w:name w:val="Heading 6"/>
    <w:basedOn w:val="686"/>
    <w:next w:val="68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8"/>
    <w:link w:val="22"/>
    <w:uiPriority w:val="9"/>
    <w:rPr>
      <w:rFonts w:ascii="Arial" w:hAnsi="Arial" w:eastAsia="Arial" w:cs="Arial"/>
      <w:b/>
      <w:bCs/>
      <w:sz w:val="22"/>
      <w:szCs w:val="22"/>
    </w:rPr>
  </w:style>
  <w:style w:type="paragraph" w:styleId="24">
    <w:name w:val="Heading 7"/>
    <w:basedOn w:val="686"/>
    <w:next w:val="68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8"/>
    <w:link w:val="24"/>
    <w:uiPriority w:val="9"/>
    <w:rPr>
      <w:rFonts w:ascii="Arial" w:hAnsi="Arial" w:eastAsia="Arial" w:cs="Arial"/>
      <w:b/>
      <w:bCs/>
      <w:i/>
      <w:iCs/>
      <w:sz w:val="22"/>
      <w:szCs w:val="22"/>
    </w:rPr>
  </w:style>
  <w:style w:type="paragraph" w:styleId="26">
    <w:name w:val="Heading 8"/>
    <w:basedOn w:val="686"/>
    <w:next w:val="68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8"/>
    <w:link w:val="26"/>
    <w:uiPriority w:val="9"/>
    <w:rPr>
      <w:rFonts w:ascii="Arial" w:hAnsi="Arial" w:eastAsia="Arial" w:cs="Arial"/>
      <w:i/>
      <w:iCs/>
      <w:sz w:val="22"/>
      <w:szCs w:val="22"/>
    </w:rPr>
  </w:style>
  <w:style w:type="paragraph" w:styleId="28">
    <w:name w:val="Heading 9"/>
    <w:basedOn w:val="686"/>
    <w:next w:val="68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8"/>
    <w:link w:val="28"/>
    <w:uiPriority w:val="9"/>
    <w:rPr>
      <w:rFonts w:ascii="Arial" w:hAnsi="Arial" w:eastAsia="Arial" w:cs="Arial"/>
      <w:i/>
      <w:iCs/>
      <w:sz w:val="21"/>
      <w:szCs w:val="21"/>
    </w:rPr>
  </w:style>
  <w:style w:type="paragraph" w:styleId="33">
    <w:name w:val="Title"/>
    <w:basedOn w:val="686"/>
    <w:next w:val="686"/>
    <w:link w:val="34"/>
    <w:uiPriority w:val="10"/>
    <w:qFormat/>
    <w:pPr>
      <w:contextualSpacing/>
      <w:spacing w:before="300" w:after="200"/>
    </w:pPr>
    <w:rPr>
      <w:sz w:val="48"/>
      <w:szCs w:val="48"/>
    </w:rPr>
  </w:style>
  <w:style w:type="character" w:styleId="34">
    <w:name w:val="Title Char"/>
    <w:basedOn w:val="688"/>
    <w:link w:val="33"/>
    <w:uiPriority w:val="10"/>
    <w:rPr>
      <w:sz w:val="48"/>
      <w:szCs w:val="48"/>
    </w:rPr>
  </w:style>
  <w:style w:type="paragraph" w:styleId="35">
    <w:name w:val="Subtitle"/>
    <w:basedOn w:val="686"/>
    <w:next w:val="686"/>
    <w:link w:val="36"/>
    <w:uiPriority w:val="11"/>
    <w:qFormat/>
    <w:pPr>
      <w:spacing w:before="200" w:after="200"/>
    </w:pPr>
    <w:rPr>
      <w:sz w:val="24"/>
      <w:szCs w:val="24"/>
    </w:rPr>
  </w:style>
  <w:style w:type="character" w:styleId="36">
    <w:name w:val="Subtitle Char"/>
    <w:basedOn w:val="688"/>
    <w:link w:val="35"/>
    <w:uiPriority w:val="11"/>
    <w:rPr>
      <w:sz w:val="24"/>
      <w:szCs w:val="24"/>
    </w:rPr>
  </w:style>
  <w:style w:type="paragraph" w:styleId="37">
    <w:name w:val="Quote"/>
    <w:basedOn w:val="686"/>
    <w:next w:val="686"/>
    <w:link w:val="38"/>
    <w:uiPriority w:val="29"/>
    <w:qFormat/>
    <w:pPr>
      <w:ind w:left="720" w:right="720"/>
    </w:pPr>
    <w:rPr>
      <w:i/>
    </w:rPr>
  </w:style>
  <w:style w:type="character" w:styleId="38">
    <w:name w:val="Quote Char"/>
    <w:link w:val="37"/>
    <w:uiPriority w:val="29"/>
    <w:rPr>
      <w:i/>
    </w:rPr>
  </w:style>
  <w:style w:type="paragraph" w:styleId="39">
    <w:name w:val="Intense Quote"/>
    <w:basedOn w:val="686"/>
    <w:next w:val="68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6"/>
    <w:link w:val="42"/>
    <w:uiPriority w:val="99"/>
    <w:unhideWhenUsed/>
    <w:pPr>
      <w:spacing w:after="0" w:line="240" w:lineRule="auto"/>
      <w:tabs>
        <w:tab w:val="center" w:pos="7143" w:leader="none"/>
        <w:tab w:val="right" w:pos="14287" w:leader="none"/>
      </w:tabs>
    </w:pPr>
  </w:style>
  <w:style w:type="character" w:styleId="42">
    <w:name w:val="Header Char"/>
    <w:basedOn w:val="688"/>
    <w:link w:val="41"/>
    <w:uiPriority w:val="99"/>
  </w:style>
  <w:style w:type="character" w:styleId="44">
    <w:name w:val="Footer Char"/>
    <w:basedOn w:val="688"/>
    <w:link w:val="697"/>
    <w:uiPriority w:val="99"/>
  </w:style>
  <w:style w:type="paragraph" w:styleId="45">
    <w:name w:val="Caption"/>
    <w:basedOn w:val="686"/>
    <w:next w:val="686"/>
    <w:uiPriority w:val="35"/>
    <w:semiHidden/>
    <w:unhideWhenUsed/>
    <w:qFormat/>
    <w:pPr>
      <w:spacing w:line="276" w:lineRule="auto"/>
    </w:pPr>
    <w:rPr>
      <w:b/>
      <w:bCs/>
      <w:color w:val="4f81bd" w:themeColor="accent1"/>
      <w:sz w:val="18"/>
      <w:szCs w:val="18"/>
    </w:rPr>
  </w:style>
  <w:style w:type="character" w:styleId="46">
    <w:name w:val="Caption Char"/>
    <w:basedOn w:val="45"/>
    <w:link w:val="697"/>
    <w:uiPriority w:val="99"/>
  </w:style>
  <w:style w:type="table" w:styleId="48">
    <w:name w:val="Table Grid Light"/>
    <w:basedOn w:val="68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8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8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8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8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8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8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8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8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8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8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8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8"/>
    <w:uiPriority w:val="99"/>
    <w:unhideWhenUsed/>
    <w:rPr>
      <w:vertAlign w:val="superscript"/>
    </w:rPr>
  </w:style>
  <w:style w:type="paragraph" w:styleId="177">
    <w:name w:val="endnote text"/>
    <w:basedOn w:val="68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8"/>
    <w:uiPriority w:val="99"/>
    <w:semiHidden/>
    <w:unhideWhenUsed/>
    <w:rPr>
      <w:vertAlign w:val="superscript"/>
    </w:rPr>
  </w:style>
  <w:style w:type="paragraph" w:styleId="180">
    <w:name w:val="toc 1"/>
    <w:basedOn w:val="686"/>
    <w:next w:val="686"/>
    <w:uiPriority w:val="39"/>
    <w:unhideWhenUsed/>
    <w:pPr>
      <w:ind w:left="0" w:right="0" w:firstLine="0"/>
      <w:spacing w:after="57"/>
    </w:pPr>
  </w:style>
  <w:style w:type="paragraph" w:styleId="181">
    <w:name w:val="toc 2"/>
    <w:basedOn w:val="686"/>
    <w:next w:val="686"/>
    <w:uiPriority w:val="39"/>
    <w:unhideWhenUsed/>
    <w:pPr>
      <w:ind w:left="283" w:right="0" w:firstLine="0"/>
      <w:spacing w:after="57"/>
    </w:pPr>
  </w:style>
  <w:style w:type="paragraph" w:styleId="182">
    <w:name w:val="toc 3"/>
    <w:basedOn w:val="686"/>
    <w:next w:val="686"/>
    <w:uiPriority w:val="39"/>
    <w:unhideWhenUsed/>
    <w:pPr>
      <w:ind w:left="567" w:right="0" w:firstLine="0"/>
      <w:spacing w:after="57"/>
    </w:pPr>
  </w:style>
  <w:style w:type="paragraph" w:styleId="183">
    <w:name w:val="toc 4"/>
    <w:basedOn w:val="686"/>
    <w:next w:val="686"/>
    <w:uiPriority w:val="39"/>
    <w:unhideWhenUsed/>
    <w:pPr>
      <w:ind w:left="850" w:right="0" w:firstLine="0"/>
      <w:spacing w:after="57"/>
    </w:pPr>
  </w:style>
  <w:style w:type="paragraph" w:styleId="184">
    <w:name w:val="toc 5"/>
    <w:basedOn w:val="686"/>
    <w:next w:val="686"/>
    <w:uiPriority w:val="39"/>
    <w:unhideWhenUsed/>
    <w:pPr>
      <w:ind w:left="1134" w:right="0" w:firstLine="0"/>
      <w:spacing w:after="57"/>
    </w:pPr>
  </w:style>
  <w:style w:type="paragraph" w:styleId="185">
    <w:name w:val="toc 6"/>
    <w:basedOn w:val="686"/>
    <w:next w:val="686"/>
    <w:uiPriority w:val="39"/>
    <w:unhideWhenUsed/>
    <w:pPr>
      <w:ind w:left="1417" w:right="0" w:firstLine="0"/>
      <w:spacing w:after="57"/>
    </w:pPr>
  </w:style>
  <w:style w:type="paragraph" w:styleId="186">
    <w:name w:val="toc 7"/>
    <w:basedOn w:val="686"/>
    <w:next w:val="686"/>
    <w:uiPriority w:val="39"/>
    <w:unhideWhenUsed/>
    <w:pPr>
      <w:ind w:left="1701" w:right="0" w:firstLine="0"/>
      <w:spacing w:after="57"/>
    </w:pPr>
  </w:style>
  <w:style w:type="paragraph" w:styleId="187">
    <w:name w:val="toc 8"/>
    <w:basedOn w:val="686"/>
    <w:next w:val="686"/>
    <w:uiPriority w:val="39"/>
    <w:unhideWhenUsed/>
    <w:pPr>
      <w:ind w:left="1984" w:right="0" w:firstLine="0"/>
      <w:spacing w:after="57"/>
    </w:pPr>
  </w:style>
  <w:style w:type="paragraph" w:styleId="188">
    <w:name w:val="toc 9"/>
    <w:basedOn w:val="686"/>
    <w:next w:val="68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6"/>
    <w:next w:val="686"/>
    <w:uiPriority w:val="99"/>
    <w:unhideWhenUsed/>
    <w:pPr>
      <w:spacing w:after="0" w:afterAutospacing="0"/>
    </w:pPr>
  </w:style>
  <w:style w:type="paragraph" w:styleId="686" w:default="1">
    <w:name w:val="Normal"/>
    <w:qFormat/>
    <w:rPr>
      <w:lang w:val="uk-UA"/>
    </w:rPr>
  </w:style>
  <w:style w:type="paragraph" w:styleId="687">
    <w:name w:val="Heading 2"/>
    <w:basedOn w:val="686"/>
    <w:link w:val="706"/>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88" w:default="1">
    <w:name w:val="Default Paragraph Font"/>
    <w:uiPriority w:val="1"/>
    <w:semiHidden/>
    <w:unhideWhenUsed/>
  </w:style>
  <w:style w:type="table" w:styleId="689" w:default="1">
    <w:name w:val="Normal Table"/>
    <w:uiPriority w:val="99"/>
    <w:semiHidden/>
    <w:unhideWhenUsed/>
    <w:tblPr>
      <w:tblInd w:w="0" w:type="dxa"/>
      <w:tblCellMar>
        <w:left w:w="108" w:type="dxa"/>
        <w:top w:w="0" w:type="dxa"/>
        <w:right w:w="108" w:type="dxa"/>
        <w:bottom w:w="0" w:type="dxa"/>
      </w:tblCellMar>
    </w:tblPr>
  </w:style>
  <w:style w:type="numbering" w:styleId="690" w:default="1">
    <w:name w:val="No List"/>
    <w:uiPriority w:val="99"/>
    <w:semiHidden/>
    <w:unhideWhenUsed/>
  </w:style>
  <w:style w:type="paragraph" w:styleId="691">
    <w:name w:val="List Paragraph"/>
    <w:basedOn w:val="686"/>
    <w:link w:val="692"/>
    <w:uiPriority w:val="34"/>
    <w:qFormat/>
    <w:pPr>
      <w:contextualSpacing/>
      <w:ind w:left="720"/>
      <w:spacing w:after="200" w:line="276" w:lineRule="auto"/>
    </w:pPr>
    <w:rPr>
      <w:rFonts w:ascii="Calibri" w:hAnsi="Calibri" w:eastAsia="Calibri" w:cs="Calibri"/>
      <w:lang w:val="ru-RU" w:eastAsia="zh-CN"/>
    </w:rPr>
  </w:style>
  <w:style w:type="character" w:styleId="692" w:customStyle="1">
    <w:name w:val="Абзац списку Знак"/>
    <w:link w:val="691"/>
    <w:uiPriority w:val="34"/>
    <w:rPr>
      <w:rFonts w:ascii="Calibri" w:hAnsi="Calibri" w:eastAsia="Calibri" w:cs="Calibri"/>
      <w:lang w:eastAsia="zh-CN"/>
    </w:rPr>
  </w:style>
  <w:style w:type="table" w:styleId="693">
    <w:name w:val="Table Grid"/>
    <w:basedOn w:val="68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4" w:customStyle="1">
    <w:name w:val="Сетка таблицы2"/>
    <w:basedOn w:val="689"/>
    <w:next w:val="693"/>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5">
    <w:name w:val="Normal (Web)"/>
    <w:basedOn w:val="686"/>
    <w:link w:val="702"/>
    <w:unhideWhenUsed/>
    <w:qFormat/>
    <w:rPr>
      <w:rFonts w:ascii="Times New Roman" w:hAnsi="Times New Roman" w:cs="Times New Roman"/>
      <w:sz w:val="24"/>
      <w:szCs w:val="24"/>
    </w:rPr>
  </w:style>
  <w:style w:type="table" w:styleId="696" w:customStyle="1">
    <w:name w:val="Сетка таблицы1"/>
    <w:basedOn w:val="689"/>
    <w:next w:val="693"/>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7">
    <w:name w:val="Footer"/>
    <w:basedOn w:val="686"/>
    <w:link w:val="698"/>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8" w:customStyle="1">
    <w:name w:val="Нижній колонтитул Знак"/>
    <w:basedOn w:val="688"/>
    <w:link w:val="697"/>
    <w:uiPriority w:val="99"/>
    <w:rPr>
      <w:rFonts w:ascii="Calibri" w:hAnsi="Calibri" w:eastAsia="Calibri" w:cs="Calibri"/>
      <w:lang w:eastAsia="zh-CN"/>
    </w:rPr>
  </w:style>
  <w:style w:type="paragraph" w:styleId="699"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00">
    <w:name w:val="Hyperlink"/>
    <w:basedOn w:val="688"/>
    <w:uiPriority w:val="99"/>
    <w:unhideWhenUsed/>
    <w:rPr>
      <w:color w:val="0563c1" w:themeColor="hyperlink"/>
      <w:u w:val="single"/>
    </w:rPr>
  </w:style>
  <w:style w:type="character" w:styleId="701" w:customStyle="1">
    <w:name w:val="xfm_93972720"/>
    <w:basedOn w:val="688"/>
  </w:style>
  <w:style w:type="character" w:styleId="702" w:customStyle="1">
    <w:name w:val="Звичайний (веб) Знак"/>
    <w:link w:val="695"/>
    <w:qFormat/>
    <w:rPr>
      <w:rFonts w:ascii="Times New Roman" w:hAnsi="Times New Roman" w:cs="Times New Roman"/>
      <w:sz w:val="24"/>
      <w:szCs w:val="24"/>
      <w:lang w:val="uk-UA"/>
    </w:rPr>
  </w:style>
  <w:style w:type="paragraph" w:styleId="703">
    <w:name w:val="Body Text 2"/>
    <w:basedOn w:val="686"/>
    <w:link w:val="704"/>
    <w:pPr>
      <w:spacing w:after="0" w:line="240" w:lineRule="auto"/>
    </w:pPr>
    <w:rPr>
      <w:rFonts w:ascii="Times New Roman" w:hAnsi="Times New Roman" w:eastAsia="Times New Roman" w:cs="Times New Roman"/>
      <w:sz w:val="28"/>
      <w:szCs w:val="20"/>
      <w:lang w:val="ru-RU" w:eastAsia="ru-RU"/>
    </w:rPr>
  </w:style>
  <w:style w:type="character" w:styleId="704" w:customStyle="1">
    <w:name w:val="Основний текст 2 Знак"/>
    <w:basedOn w:val="688"/>
    <w:link w:val="703"/>
    <w:rPr>
      <w:rFonts w:ascii="Times New Roman" w:hAnsi="Times New Roman" w:eastAsia="Times New Roman" w:cs="Times New Roman"/>
      <w:sz w:val="28"/>
      <w:szCs w:val="20"/>
      <w:lang w:eastAsia="ru-RU"/>
    </w:rPr>
  </w:style>
  <w:style w:type="paragraph" w:styleId="705"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6" w:customStyle="1">
    <w:name w:val="Заголовок 2 Знак"/>
    <w:basedOn w:val="688"/>
    <w:link w:val="687"/>
    <w:uiPriority w:val="9"/>
    <w:rPr>
      <w:rFonts w:ascii="Times New Roman" w:hAnsi="Times New Roman" w:eastAsia="Times New Roman" w:cs="Times New Roman"/>
      <w:b/>
      <w:bCs/>
      <w:sz w:val="36"/>
      <w:szCs w:val="36"/>
      <w:lang w:val="uk-UA" w:eastAsia="uk-UA"/>
    </w:rPr>
  </w:style>
  <w:style w:type="paragraph" w:styleId="707">
    <w:name w:val="No Spacing"/>
    <w:link w:val="708"/>
    <w:uiPriority w:val="1"/>
    <w:qFormat/>
    <w:pPr>
      <w:spacing w:after="0" w:line="240" w:lineRule="auto"/>
    </w:pPr>
    <w:rPr>
      <w:rFonts w:ascii="Calibri" w:hAnsi="Calibri" w:eastAsia="Calibri" w:cs="Times New Roman"/>
      <w:lang w:val="uk-UA"/>
    </w:rPr>
  </w:style>
  <w:style w:type="character" w:styleId="708" w:customStyle="1">
    <w:name w:val="Без інтервалів Знак"/>
    <w:basedOn w:val="688"/>
    <w:link w:val="707"/>
    <w:uiPriority w:val="1"/>
    <w:rPr>
      <w:rFonts w:ascii="Calibri" w:hAnsi="Calibri" w:eastAsia="Calibri" w:cs="Times New Roman"/>
      <w:lang w:val="uk-UA"/>
    </w:rPr>
  </w:style>
  <w:style w:type="character" w:styleId="709" w:customStyle="1">
    <w:name w:val="Другое_"/>
    <w:basedOn w:val="688"/>
    <w:link w:val="710"/>
    <w:rPr>
      <w:rFonts w:ascii="Calibri" w:hAnsi="Calibri" w:eastAsia="Calibri" w:cs="Calibri"/>
      <w:sz w:val="20"/>
      <w:szCs w:val="20"/>
    </w:rPr>
  </w:style>
  <w:style w:type="paragraph" w:styleId="710" w:customStyle="1">
    <w:name w:val="Другое"/>
    <w:basedOn w:val="686"/>
    <w:link w:val="709"/>
    <w:pPr>
      <w:spacing w:after="0" w:line="240" w:lineRule="auto"/>
      <w:widowControl w:val="off"/>
    </w:pPr>
    <w:rPr>
      <w:rFonts w:ascii="Calibri" w:hAnsi="Calibri" w:eastAsia="Calibri" w:cs="Calibri"/>
      <w:sz w:val="20"/>
      <w:szCs w:val="20"/>
      <w:lang w:val="ru-RU"/>
    </w:rPr>
  </w:style>
  <w:style w:type="paragraph" w:styleId="711"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12" w:customStyle="1">
    <w:name w:val="Основной текст (2)_"/>
    <w:basedOn w:val="688"/>
    <w:link w:val="713"/>
    <w:rPr>
      <w:rFonts w:eastAsia="Times New Roman" w:cs="Times New Roman"/>
      <w:shd w:val="clear" w:color="auto" w:fill="ffffff"/>
    </w:rPr>
  </w:style>
  <w:style w:type="paragraph" w:styleId="713" w:customStyle="1">
    <w:name w:val="Основной текст (2)"/>
    <w:basedOn w:val="686"/>
    <w:link w:val="712"/>
    <w:pPr>
      <w:ind w:hanging="700"/>
      <w:jc w:val="both"/>
      <w:spacing w:before="240" w:after="480" w:line="0" w:lineRule="atLeast"/>
      <w:shd w:val="clear" w:color="auto" w:fill="ffffff"/>
      <w:widowControl w:val="off"/>
    </w:pPr>
    <w:rPr>
      <w:rFonts w:eastAsia="Times New Roman" w:cs="Times New Roman"/>
      <w:lang w:val="ru-RU"/>
    </w:rPr>
  </w:style>
  <w:style w:type="character" w:styleId="714" w:customStyle="1">
    <w:name w:val="Текст у виносці Знак"/>
    <w:basedOn w:val="688"/>
    <w:link w:val="715"/>
    <w:uiPriority w:val="99"/>
    <w:semiHidden/>
    <w:rPr>
      <w:rFonts w:ascii="Segoe UI" w:hAnsi="Segoe UI" w:eastAsia="Times New Roman" w:cs="Segoe UI"/>
      <w:sz w:val="18"/>
      <w:szCs w:val="18"/>
      <w:lang w:eastAsia="ru-RU"/>
    </w:rPr>
  </w:style>
  <w:style w:type="paragraph" w:styleId="715">
    <w:name w:val="Balloon Text"/>
    <w:basedOn w:val="686"/>
    <w:link w:val="714"/>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16" w:customStyle="1">
    <w:name w:val="Текст у виносці Знак1"/>
    <w:basedOn w:val="688"/>
    <w:uiPriority w:val="99"/>
    <w:semiHidden/>
    <w:rPr>
      <w:rFonts w:ascii="Segoe UI" w:hAnsi="Segoe UI" w:cs="Segoe UI"/>
      <w:sz w:val="18"/>
      <w:szCs w:val="18"/>
      <w:lang w:val="uk-UA"/>
    </w:rPr>
  </w:style>
  <w:style w:type="character" w:styleId="717" w:customStyle="1">
    <w:name w:val="T23"/>
    <w:rPr>
      <w:rFonts w:hint="default" w:ascii="Times New Roman" w:hAnsi="Times New Roman" w:eastAsia="Times New Roman1"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139</cp:revision>
  <dcterms:created xsi:type="dcterms:W3CDTF">2022-11-01T12:47:00Z</dcterms:created>
  <dcterms:modified xsi:type="dcterms:W3CDTF">2023-10-06T14:17:49Z</dcterms:modified>
</cp:coreProperties>
</file>