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bookmarkStart w:id="0" w:name="_Hlk146887755"/>
      <w:r>
        <w:rPr>
          <w:b w:val="0"/>
          <w:bCs w:val="0"/>
          <w:sz w:val="24"/>
          <w:szCs w:val="24"/>
        </w:rPr>
        <w:t xml:space="preserve">Послуги з </w:t>
      </w:r>
      <w:r>
        <w:rPr>
          <w:b w:val="0"/>
          <w:bCs w:val="0"/>
          <w:spacing w:val="1"/>
          <w:sz w:val="24"/>
          <w:szCs w:val="24"/>
        </w:rPr>
        <w:t xml:space="preserve">технічної підтримки від виробника (Лот 1: Послуги з  технічної підтримки від виробника </w:t>
      </w:r>
      <w:r>
        <w:rPr>
          <w:b w:val="0"/>
          <w:bCs w:val="0"/>
          <w:spacing w:val="1"/>
          <w:sz w:val="24"/>
          <w:szCs w:val="24"/>
        </w:rPr>
        <w:t xml:space="preserve">Dell</w:t>
      </w:r>
      <w:r>
        <w:rPr>
          <w:b w:val="0"/>
          <w:bCs w:val="0"/>
          <w:spacing w:val="1"/>
          <w:sz w:val="24"/>
          <w:szCs w:val="24"/>
        </w:rPr>
        <w:t xml:space="preserve">; Лот 2: Послуги з  технічної підтримки від виробника </w:t>
      </w:r>
      <w:r>
        <w:rPr>
          <w:b w:val="0"/>
          <w:bCs w:val="0"/>
          <w:spacing w:val="1"/>
          <w:sz w:val="24"/>
          <w:szCs w:val="24"/>
        </w:rPr>
        <w:t xml:space="preserve">Cisco</w:t>
      </w:r>
      <w:r>
        <w:rPr>
          <w:b w:val="0"/>
          <w:bCs w:val="0"/>
          <w:spacing w:val="1"/>
          <w:sz w:val="24"/>
          <w:szCs w:val="24"/>
        </w:rPr>
        <w:t xml:space="preserve">)</w:t>
      </w:r>
      <w:r>
        <w:rPr>
          <w:b w:val="0"/>
          <w:bCs w:val="0"/>
          <w:sz w:val="24"/>
          <w:szCs w:val="24"/>
        </w:rPr>
        <w:t xml:space="preserve"> за кодом  ДК 021:2015: 72250000-2 Послуги, пов’язані із системами та підтримкою</w:t>
      </w:r>
      <w:bookmarkEnd w:id="0"/>
      <w:r/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021199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з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технічної підтримки від виробника (Лот 1: Послуги з  технічної підтримки від виробника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Dell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; Лот 2: Послуги з  технічної підтримки від виробника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Cisco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  <w:t xml:space="preserve"> за кодом  ДК 021:2015: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72250000-2 Послуги, пов’язані із системами та підтримкою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1" w:name="_Hlk133583335"/>
      <w:r/>
      <w:bookmarkEnd w:id="1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Послуги з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технічної підтримки від виробника </w:t>
      </w:r>
      <w:r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Dell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кодом  ДК 021:2015: 72250000-2 Послуги, пов’язані із системами та підтримкою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  <w:r/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tbl>
      <w:tblPr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4801"/>
        <w:gridCol w:w="1701"/>
        <w:gridCol w:w="1276"/>
        <w:gridCol w:w="1276"/>
      </w:tblGrid>
      <w:tr>
        <w:trPr>
          <w:trHeight w:val="387"/>
        </w:trPr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Послуг та Робіт 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Період надання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Послуги з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технічної підтримки від виробника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Dell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31.12.2023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СКЛАД (ЗМІСТ) ВИМОГ</w:t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Послуги щодо забезпечення розширення гарантії для </w:t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обладнання DELL EMC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Послуги щодо забезпечення розширення гарантії для обладнання DELL EMC мають надаватися Виробником, для можливості здійснення Замовником прямого доступу до всіх опцій гарантії та ресурсів DELL EMC без посередника, а саме:</w:t>
      </w:r>
      <w:r/>
    </w:p>
    <w:p>
      <w:pPr>
        <w:pStyle w:val="714"/>
        <w:numPr>
          <w:ilvl w:val="0"/>
          <w:numId w:val="32"/>
        </w:numPr>
        <w:contextualSpacing w:val="0"/>
        <w:ind w:left="284" w:hanging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Виробник повинен забезпечити сервісну підтримку з режимом роботи 24х7 (цілодобово) з питань роботи апаратного забезпечення;</w:t>
      </w:r>
      <w:r/>
    </w:p>
    <w:p>
      <w:pPr>
        <w:pStyle w:val="714"/>
        <w:numPr>
          <w:ilvl w:val="0"/>
          <w:numId w:val="32"/>
        </w:numPr>
        <w:contextualSpacing w:val="0"/>
        <w:ind w:left="284" w:hanging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авансову заміну обладнання з відвантаженням зі складу виробника на непізніше ніж на наступний робочий день після оформлення відповідної сервісної заявки у разі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оформлення сервісної заявки з 10:00 до 15:00 за місцевим часом. У разі оформлення сервісної заявки після 15:00 за місцевим часом – заміна обладнання відбувається протягом не більше двох робочих днів за днем оформлення сервісної заявки. Заміна несправного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обладнання повинна проводитися необмежену кількість разів протягом всього терміну дії сервісної підтримки Виробника;</w:t>
      </w:r>
      <w:r/>
    </w:p>
    <w:p>
      <w:pPr>
        <w:pStyle w:val="714"/>
        <w:numPr>
          <w:ilvl w:val="0"/>
          <w:numId w:val="32"/>
        </w:numPr>
        <w:contextualSpacing w:val="0"/>
        <w:ind w:left="284" w:hanging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надавати можливість для завантаження нових версій програмного забезпечення, оновлень з безпеки, вразливостей і виправлень виявлених помилок, розширення функціональності ПЗ, що поставляється разом з обладнанням;</w:t>
      </w:r>
      <w:r/>
    </w:p>
    <w:p>
      <w:pPr>
        <w:pStyle w:val="714"/>
        <w:numPr>
          <w:ilvl w:val="0"/>
          <w:numId w:val="32"/>
        </w:numPr>
        <w:contextualSpacing w:val="0"/>
        <w:ind w:left="284" w:hanging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вирішення проблем під час експлуатації апаратного та програмного забезпечення Виробник повинен надавати електронний сервіс (веб-портал, спеціальну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email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-адресу, мобільний додаток 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ощо) для створення заявок від Замовника або його представників з автоматичною реєстрацією таких заявок в системі підтримки Виробника. Робота з таким сервісом та комунікація з представниками Виробника повинна бути доступна англійською або українською мовою.</w:t>
      </w:r>
      <w:r/>
    </w:p>
    <w:p>
      <w:pPr>
        <w:ind w:firstLine="567"/>
        <w:jc w:val="both"/>
        <w:spacing w:before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Учасники торгів повинні належним чином здійснюва</w:t>
      </w: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ти діяльність щодо предмету закупівлі. У зв’язку з цим для належного захисту інтересів Замовника щодо авторизованого джерела постачання товару (послуг) за даними торгами, у відповідності до товарів (послуг), що пропонуються, учасники торгів повинні надати </w:t>
      </w: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авторизаційний</w:t>
      </w: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 лист(-и) від виробника(-</w:t>
      </w: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ів</w:t>
      </w: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) програмного забезпечення/послуг (або його офіційного представника/офіційного дистриб’ютора у разі відсутності виробника в Україні), що підтверджує(-</w:t>
      </w: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ють</w:t>
      </w: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) повноваження учасника на розповсюдження в Україні продуктів (послуг) виробника, які є предметом закупівлі.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ind w:firstLine="567"/>
        <w:jc w:val="both"/>
        <w:spacing w:before="40" w:line="240" w:lineRule="auto"/>
        <w:rPr>
          <w:rFonts w:ascii="Times New Roman" w:hAnsi="Times New Roman" w:cs="Times New Roman"/>
          <w:spacing w:val="-4"/>
          <w:sz w:val="24"/>
          <w:szCs w:val="24"/>
          <w:lang w:bidi="uk-UA"/>
        </w:rPr>
      </w:pP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У листі має бути зазначено: назву учасника; назву предмета закупівлі та/або номер закупівлі; повноваження учасника на розповсюдження в Україні продуктів виробника.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разі надання учасником вказаного вище листа іноземною мовою, окрім англійської, він повинен бути перекладений українською мовою. Переклад повинен бути засвідчений підписом уповноваженої особи учасника (якщо учасником</w:t>
      </w:r>
      <w:r>
        <w:rPr>
          <w:rFonts w:ascii="Times New Roman" w:hAnsi="Times New Roman" w:cs="Times New Roman"/>
          <w:i/>
          <w:sz w:val="24"/>
          <w:szCs w:val="24"/>
        </w:rPr>
        <w:t xml:space="preserve"> є фізична особа, підписами перекладача та учасника – фізичної особи).</w:t>
      </w:r>
      <w:r/>
    </w:p>
    <w:tbl>
      <w:tblPr>
        <w:tblStyle w:val="716"/>
        <w:tblW w:w="507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6802"/>
        <w:gridCol w:w="1558"/>
        <w:gridCol w:w="851"/>
      </w:tblGrid>
      <w:tr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з/п</w:t>
            </w:r>
            <w:r/>
          </w:p>
        </w:tc>
        <w:tc>
          <w:tcPr>
            <w:tcW w:w="680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Найменування</w:t>
            </w:r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Строк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К-сть</w:t>
            </w:r>
            <w:r/>
          </w:p>
        </w:tc>
      </w:tr>
      <w:tr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W w:w="6802" w:type="dxa"/>
            <w:vAlign w:val="center"/>
            <w:textDirection w:val="lrTb"/>
            <w:noWrap w:val="false"/>
          </w:tcPr>
          <w:p>
            <w:pPr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Інформаційно-консультаційна послуга щодо забезпечення активації розширення гарантії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Networking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S3100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Series</w:t>
            </w:r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місяців</w:t>
            </w:r>
            <w:r/>
          </w:p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31.12.2024)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1</w:t>
            </w:r>
            <w:r/>
          </w:p>
        </w:tc>
      </w:tr>
      <w:tr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6802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Інформаційно-консультаційна послуга щодо забезпечення активації розширення гарантії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PowerSwitch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S5248F-ON</w:t>
            </w:r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місяців</w:t>
            </w:r>
            <w:r/>
          </w:p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31.12.2024)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6802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Інформаційно-консультаційна послуга щодо забезпечення активації розширення гарантії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Isilon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Chassis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Upgrades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Extensions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</w:t>
            </w:r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місяців</w:t>
            </w:r>
            <w:r/>
          </w:p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31.12.2024)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6802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Інформаційно-консультаційна послуга щодо забезпечення активації розширення гарантії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Isilon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Upgrades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Extensions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</w:t>
            </w:r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місяців</w:t>
            </w:r>
            <w:r/>
          </w:p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31.12.2024)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</w:tr>
      <w:tr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6802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Інформаційно-консультаційна послуга щодо забезпечення активації розширення гарантії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Backend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Network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Switches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APOS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</w:t>
            </w:r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місяців</w:t>
            </w:r>
            <w:r/>
          </w:p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31.12.2024)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6802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Інформаційно-консультаційна послуга щодо забезпечення активації розширення гарантії IDPA 4400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Upgrade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Extension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</w:t>
            </w:r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місяців</w:t>
            </w:r>
            <w:r/>
          </w:p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31.12.2024)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W w:w="56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W w:w="6802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Інформаційно-консультаційна послуга щодо забезпечення активації розширення гарантії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VxRail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E560d H/F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Upgrade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Extension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5</w:t>
            </w:r>
            <w:r/>
          </w:p>
        </w:tc>
        <w:tc>
          <w:tcPr>
            <w:tcW w:w="15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місяців</w:t>
            </w:r>
            <w:r/>
          </w:p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 31.12.2024)</w:t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</w:tr>
    </w:tbl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283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кожна послуга щодо забезпечення активації розширення гарантії має включати в себе послугу щодо забезпечення розширення гарантії для DELL EMC </w:t>
      </w:r>
      <w:r>
        <w:rPr>
          <w:rFonts w:ascii="Times New Roman" w:hAnsi="Times New Roman" w:cs="Times New Roman"/>
          <w:sz w:val="24"/>
          <w:szCs w:val="24"/>
        </w:rPr>
        <w:t xml:space="preserve">Base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Chassis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Normal</w:t>
      </w:r>
      <w:r>
        <w:rPr>
          <w:rFonts w:ascii="Times New Roman" w:hAnsi="Times New Roman" w:cs="Times New Roman"/>
          <w:sz w:val="24"/>
          <w:szCs w:val="24"/>
        </w:rPr>
        <w:t xml:space="preserve"> не гірше ніж </w:t>
      </w:r>
      <w:r>
        <w:rPr>
          <w:rFonts w:ascii="Times New Roman" w:hAnsi="Times New Roman" w:cs="Times New Roman"/>
          <w:sz w:val="24"/>
          <w:szCs w:val="24"/>
        </w:rPr>
        <w:t xml:space="preserve">ProSupport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Service</w:t>
      </w:r>
      <w:r>
        <w:rPr>
          <w:rFonts w:ascii="Times New Roman" w:hAnsi="Times New Roman" w:cs="Times New Roman"/>
          <w:sz w:val="24"/>
          <w:szCs w:val="24"/>
        </w:rPr>
        <w:t xml:space="preserve"> або аналог;</w:t>
      </w:r>
      <w:r/>
    </w:p>
    <w:p>
      <w:pPr>
        <w:ind w:right="283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кожна послуга щодо забезпечення активації розширення гарантії має включати в себе послугу щодо забезпечення розширення гарантії для DELL EMC </w:t>
      </w:r>
      <w:r>
        <w:rPr>
          <w:rFonts w:ascii="Times New Roman" w:hAnsi="Times New Roman" w:cs="Times New Roman"/>
          <w:sz w:val="24"/>
          <w:szCs w:val="24"/>
        </w:rPr>
        <w:t xml:space="preserve">Isilon</w:t>
      </w:r>
      <w:r>
        <w:rPr>
          <w:rFonts w:ascii="Times New Roman" w:hAnsi="Times New Roman" w:cs="Times New Roman"/>
          <w:sz w:val="24"/>
          <w:szCs w:val="24"/>
        </w:rPr>
        <w:t xml:space="preserve"> A200 не гірше ніж </w:t>
      </w:r>
      <w:r>
        <w:rPr>
          <w:rFonts w:ascii="Times New Roman" w:hAnsi="Times New Roman" w:cs="Times New Roman"/>
          <w:sz w:val="24"/>
          <w:szCs w:val="24"/>
        </w:rPr>
        <w:t xml:space="preserve">ProSupport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Service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Software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Support-Maintenance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Reinstate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Service </w:t>
      </w:r>
      <w:r>
        <w:rPr>
          <w:rFonts w:ascii="Times New Roman" w:hAnsi="Times New Roman" w:cs="Times New Roman"/>
          <w:sz w:val="24"/>
          <w:szCs w:val="24"/>
        </w:rPr>
        <w:t xml:space="preserve">OneFS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Hybrid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Software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Support-Maintenance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Reinstate</w:t>
      </w:r>
      <w:r>
        <w:rPr>
          <w:rFonts w:ascii="Times New Roman" w:hAnsi="Times New Roman" w:cs="Times New Roman"/>
          <w:sz w:val="24"/>
          <w:szCs w:val="24"/>
        </w:rPr>
        <w:t xml:space="preserve"> або аналог;</w:t>
      </w:r>
      <w:r/>
    </w:p>
    <w:p>
      <w:pPr>
        <w:ind w:right="283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– кожна послуга щодо забезпечення активації розширення гарантії має включати в себе послугу щодо забезпечення розширення гарантії для DELL EMC S4112F не гірше ніж </w:t>
      </w:r>
      <w:r>
        <w:rPr>
          <w:rFonts w:ascii="Times New Roman" w:hAnsi="Times New Roman" w:cs="Times New Roman"/>
          <w:sz w:val="24"/>
          <w:szCs w:val="24"/>
        </w:rPr>
        <w:t xml:space="preserve">ProSupport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Reinstate</w:t>
      </w:r>
      <w:r>
        <w:rPr>
          <w:rFonts w:ascii="Times New Roman" w:hAnsi="Times New Roman" w:cs="Times New Roman"/>
          <w:sz w:val="24"/>
          <w:szCs w:val="24"/>
        </w:rPr>
        <w:t xml:space="preserve"> або аналог;</w:t>
      </w:r>
      <w:r/>
    </w:p>
    <w:p>
      <w:pPr>
        <w:ind w:right="283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– кожна послуга щодо забезпечення активації розширення гарантії має включати в себе послугу щодо забезпечення розширення гарантії DELL EMC IDPA 4400 не гірше ніж </w:t>
      </w:r>
      <w:r>
        <w:rPr>
          <w:rFonts w:ascii="Times New Roman" w:hAnsi="Times New Roman" w:cs="Times New Roman"/>
          <w:sz w:val="24"/>
          <w:szCs w:val="24"/>
        </w:rPr>
        <w:t xml:space="preserve">ProSupport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Reinstate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Service</w:t>
      </w:r>
      <w:r>
        <w:rPr>
          <w:rFonts w:ascii="Times New Roman" w:hAnsi="Times New Roman" w:cs="Times New Roman"/>
          <w:sz w:val="24"/>
          <w:szCs w:val="24"/>
        </w:rPr>
        <w:t xml:space="preserve"> DP </w:t>
      </w:r>
      <w:r>
        <w:rPr>
          <w:rFonts w:ascii="Times New Roman" w:hAnsi="Times New Roman" w:cs="Times New Roman"/>
          <w:sz w:val="24"/>
          <w:szCs w:val="24"/>
        </w:rPr>
        <w:t xml:space="preserve">Sftwr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Spt-Maint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Reinstate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Service</w:t>
      </w:r>
      <w:r>
        <w:rPr>
          <w:rFonts w:ascii="Times New Roman" w:hAnsi="Times New Roman" w:cs="Times New Roman"/>
          <w:sz w:val="24"/>
          <w:szCs w:val="24"/>
        </w:rPr>
        <w:t xml:space="preserve"> DP </w:t>
      </w:r>
      <w:r>
        <w:rPr>
          <w:rFonts w:ascii="Times New Roman" w:hAnsi="Times New Roman" w:cs="Times New Roman"/>
          <w:sz w:val="24"/>
          <w:szCs w:val="24"/>
        </w:rPr>
        <w:t xml:space="preserve">Additional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Sftwr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Spt-Maint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Reinstate</w:t>
      </w:r>
      <w:r>
        <w:rPr>
          <w:rFonts w:ascii="Times New Roman" w:hAnsi="Times New Roman" w:cs="Times New Roman"/>
          <w:sz w:val="24"/>
          <w:szCs w:val="24"/>
        </w:rPr>
        <w:t xml:space="preserve"> або аналог;</w:t>
      </w:r>
      <w:r/>
    </w:p>
    <w:p>
      <w:pPr>
        <w:ind w:right="283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– кожна послуга щодо забезпечення активації розширення гарантії має включати в себе послугу щодо забезпечення розширення гарантії DELL EMC </w:t>
      </w:r>
      <w:r>
        <w:rPr>
          <w:rFonts w:ascii="Times New Roman" w:hAnsi="Times New Roman" w:cs="Times New Roman"/>
          <w:sz w:val="24"/>
          <w:szCs w:val="24"/>
        </w:rPr>
        <w:t xml:space="preserve">VxRail</w:t>
      </w:r>
      <w:r>
        <w:rPr>
          <w:rFonts w:ascii="Times New Roman" w:hAnsi="Times New Roman" w:cs="Times New Roman"/>
          <w:sz w:val="24"/>
          <w:szCs w:val="24"/>
        </w:rPr>
        <w:t xml:space="preserve"> E560F не гірше ніж </w:t>
      </w:r>
      <w:r>
        <w:rPr>
          <w:rFonts w:ascii="Times New Roman" w:hAnsi="Times New Roman" w:cs="Times New Roman"/>
          <w:sz w:val="24"/>
          <w:szCs w:val="24"/>
        </w:rPr>
        <w:t xml:space="preserve">ProSupport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Onsite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Service</w:t>
      </w:r>
      <w:r>
        <w:rPr>
          <w:rFonts w:ascii="Times New Roman" w:hAnsi="Times New Roman" w:cs="Times New Roman"/>
          <w:sz w:val="24"/>
          <w:szCs w:val="24"/>
        </w:rPr>
        <w:t xml:space="preserve"> VSAN </w:t>
      </w:r>
      <w:r>
        <w:rPr>
          <w:rFonts w:ascii="Times New Roman" w:hAnsi="Times New Roman" w:cs="Times New Roman"/>
          <w:sz w:val="24"/>
          <w:szCs w:val="24"/>
        </w:rPr>
        <w:t xml:space="preserve">Reinstate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VxRail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Sftwr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Spt-Maint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Reinstate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ProSupport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Next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RecoverPoint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Software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Support-Maintanance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Reinstate</w:t>
      </w:r>
      <w:r>
        <w:rPr>
          <w:rFonts w:ascii="Times New Roman" w:hAnsi="Times New Roman" w:cs="Times New Roman"/>
          <w:sz w:val="24"/>
          <w:szCs w:val="24"/>
        </w:rPr>
        <w:t xml:space="preserve"> або аналог;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Учасник якого</w:t>
      </w:r>
      <w:r>
        <w:rPr>
          <w:rFonts w:ascii="Times New Roman" w:hAnsi="Times New Roman" w:cs="Times New Roman"/>
          <w:sz w:val="24"/>
          <w:szCs w:val="24"/>
        </w:rPr>
        <w:t xml:space="preserve"> визначено переможцем процедури закупівлі, до 01.02.2024 року проводить науково-технічну експертизу та/або експертну оцінку та/або незалежну оцінку вартості послуг, за результатом аукціону/розкриття тендерних пропозицій, вказаних в Додатку 5 до тендерної д</w:t>
      </w:r>
      <w:r>
        <w:rPr>
          <w:rFonts w:ascii="Times New Roman" w:hAnsi="Times New Roman" w:cs="Times New Roman"/>
          <w:sz w:val="24"/>
          <w:szCs w:val="24"/>
        </w:rPr>
        <w:t xml:space="preserve">окументації та надає Замовнику документ що підтверджує вартість вказаних послуг. У разі надання документу де вартість послуг буде нижча ніж зазначив Учасник за результатом аукціону/розкриття тендерних пропозицій, Учасник-Переможець зобов’язується відшкодув</w:t>
      </w:r>
      <w:r>
        <w:rPr>
          <w:rFonts w:ascii="Times New Roman" w:hAnsi="Times New Roman" w:cs="Times New Roman"/>
          <w:sz w:val="24"/>
          <w:szCs w:val="24"/>
        </w:rPr>
        <w:t xml:space="preserve">ати, на рахунок Замовника, різницю між вартістю послуг за результатом проведеної процедури закупівлі та вартістю послуг, що вказана в документі за результатом проведеної експертизи в повному обсязі (надати у складі тендерної документації гарантійний лист).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Послуги з 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технічної підтримки від виробника </w:t>
      </w:r>
      <w:r>
        <w:rPr>
          <w:rFonts w:ascii="Times New Roman" w:hAnsi="Times New Roman" w:cs="Times New Roman"/>
          <w:b/>
          <w:spacing w:val="1"/>
          <w:sz w:val="24"/>
          <w:szCs w:val="24"/>
          <w:lang w:val="en-US"/>
        </w:rPr>
        <w:t xml:space="preserve">Cisco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кодом  ДК 021:2015: 72250000-2 Послуги, пов’язані із системами та підтримкою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r>
      <w:r/>
    </w:p>
    <w:p>
      <w:pPr>
        <w:ind w:firstLine="850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tbl>
      <w:tblPr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4801"/>
        <w:gridCol w:w="1701"/>
        <w:gridCol w:w="1276"/>
        <w:gridCol w:w="1276"/>
      </w:tblGrid>
      <w:tr>
        <w:trPr>
          <w:trHeight w:val="387"/>
        </w:trPr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Послуг та Робіт 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Період надання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shd w:val="clear" w:color="auto" w:fill="d9d9d9" w:themeFill="background1" w:themeFillShade="D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Послуги з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технічної підтримки від виробника </w:t>
            </w:r>
            <w:r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en-US"/>
              </w:rPr>
              <w:t xml:space="preserve">Cisco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31.12.2023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79"/>
        <w:jc w:val="center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СКЛАД (ЗМІСТ) ВИМОГ</w:t>
      </w:r>
      <w:r/>
    </w:p>
    <w:p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Сервісні пакети технічної підтримки та програмна продукція для обладнання (рішень)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Cisco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Systems</w:t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  <w:highlight w:val="yellow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lang w:eastAsia="uk-UA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Сервісні пакети технічної підтримки для обладнання (рішень)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Cisco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Systems</w:t>
      </w:r>
      <w:r>
        <w:rPr>
          <w:rFonts w:ascii="Times New Roman" w:hAnsi="Times New Roman" w:cs="Times New Roman"/>
          <w:sz w:val="24"/>
          <w:szCs w:val="24"/>
        </w:rPr>
        <w:t xml:space="preserve"> мають надаватися Виробником, для можливості здійснення Замовником прямого доступу до всіх опцій гарантії та ресурсів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Cisco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Systems</w:t>
      </w:r>
      <w:r>
        <w:rPr>
          <w:rFonts w:ascii="Times New Roman" w:hAnsi="Times New Roman" w:cs="Times New Roman"/>
          <w:sz w:val="24"/>
          <w:szCs w:val="24"/>
        </w:rPr>
        <w:t xml:space="preserve"> без посередника, а саме: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14"/>
        <w:numPr>
          <w:ilvl w:val="0"/>
          <w:numId w:val="32"/>
        </w:numPr>
        <w:contextualSpacing w:val="0"/>
        <w:ind w:hanging="436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Виробник повинен забезпечити сервісну підтримку з режимом роботи 24х7 (цілодобово) з питань роботи апаратного забезпечення;</w:t>
      </w:r>
      <w:r/>
    </w:p>
    <w:p>
      <w:pPr>
        <w:pStyle w:val="714"/>
        <w:numPr>
          <w:ilvl w:val="0"/>
          <w:numId w:val="32"/>
        </w:numPr>
        <w:contextualSpacing w:val="0"/>
        <w:ind w:hanging="436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авансову заміну обл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аднання з відвантаженням зі складу виробника на непізніше ніж на наступний робочий день після оформлення відповідної сервісної заявки у разі оформлення сервісної заявки з 10:00 до 15:00 за місцевим часом. У разі оформлення сервісної заявки після 15:00 за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ісцевим часом – заміна обладнання відбувається протягом не більше двох робочих днів за днем оформлення сервісної заявки. Заміна несправного обладнання повинна проводитися необмежену кількість разів протягом всього терміну дії сервісної підтримки Виробника;</w:t>
      </w:r>
      <w:r/>
    </w:p>
    <w:p>
      <w:pPr>
        <w:pStyle w:val="714"/>
        <w:numPr>
          <w:ilvl w:val="0"/>
          <w:numId w:val="32"/>
        </w:numPr>
        <w:contextualSpacing w:val="0"/>
        <w:ind w:hanging="436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надавати можливість для завантаження нових версій програмного забезпечення, оновлень з безпеки, вразливостей і виправлень виявлених помилок, розширення функціональності ПЗ, що поставляється разом з обладнанням;</w:t>
      </w:r>
      <w:r/>
    </w:p>
    <w:p>
      <w:pPr>
        <w:pStyle w:val="714"/>
        <w:numPr>
          <w:ilvl w:val="0"/>
          <w:numId w:val="32"/>
        </w:numPr>
        <w:contextualSpacing w:val="0"/>
        <w:ind w:hanging="436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вирішення проблем під час експлуатації апаратного та програмного забезпечення Виробник повинен надавати електронний сервіс (веб-портал, спеціальну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email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-адресу, мобільний додаток 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ощо) для створення заявок від Замовника або його представників з автоматичною реєстрацією таких заявок в системі підтримки Виробника. Робота з таким сервісом та комунікація з представниками Виробника повинна бути доступна англійською або українською мовою.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both"/>
        <w:spacing w:before="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Учасники торгів повинні належним чином здійснюва</w:t>
      </w: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ти діяльність щодо предмету закупівлі. У зв’язку з цим для належного захисту інтересів Замовника щодо авторизованого джерела постачання товару (послуг) за даними торгами, у відповідності до товарів (послуг), що пропонуються, учасники торгів повинні надати </w:t>
      </w: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авторизаційний</w:t>
      </w: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 лист(-и) від виробника(-</w:t>
      </w: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ів</w:t>
      </w: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) програмного забезпечення/послуг (або його офіційного представника/офіційного дистриб’ютора у разі відсутності виробника в Україні), що підтверджує(-</w:t>
      </w: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ють</w:t>
      </w: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) повноваження учасника на розповсюдження в Україні продуктів (послуг) виробника, які є предметом закупівлі.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/>
    </w:p>
    <w:p>
      <w:pPr>
        <w:ind w:firstLine="567"/>
        <w:jc w:val="both"/>
        <w:spacing w:before="40" w:line="240" w:lineRule="auto"/>
        <w:rPr>
          <w:rFonts w:ascii="Times New Roman" w:hAnsi="Times New Roman" w:cs="Times New Roman"/>
          <w:spacing w:val="-4"/>
          <w:sz w:val="24"/>
          <w:szCs w:val="24"/>
          <w:lang w:bidi="uk-UA"/>
        </w:rPr>
      </w:pPr>
      <w:r>
        <w:rPr>
          <w:rFonts w:ascii="Times New Roman" w:hAnsi="Times New Roman" w:cs="Times New Roman"/>
          <w:spacing w:val="-4"/>
          <w:sz w:val="24"/>
          <w:szCs w:val="24"/>
          <w:lang w:bidi="uk-UA"/>
        </w:rPr>
        <w:t xml:space="preserve">У листі має бути зазначено: назву учасника; назву предмета закупівлі та/або номер закупівлі; повноваження учасника на розповсюдження в Україні продуктів виробника.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разі надання учасником вказаного вище листа іноземною мовою, окрім англійської, він повинен бути перекладений українською мовою. Переклад повинен бути засвідчений підписом уповноваженої особи учасника (якщо учасником</w:t>
      </w:r>
      <w:r>
        <w:rPr>
          <w:rFonts w:ascii="Times New Roman" w:hAnsi="Times New Roman" w:cs="Times New Roman"/>
          <w:i/>
          <w:sz w:val="24"/>
          <w:szCs w:val="24"/>
        </w:rPr>
        <w:t xml:space="preserve"> є фізична особа, підписами перекладача та учасника – фізичної особи).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387"/>
        <w:gridCol w:w="4570"/>
        <w:gridCol w:w="1526"/>
        <w:gridCol w:w="708"/>
      </w:tblGrid>
      <w:tr>
        <w:trPr>
          <w:jc w:val="center"/>
          <w:trHeight w:val="567"/>
          <w:tblHeader/>
        </w:trPr>
        <w:tc>
          <w:tcPr>
            <w:shd w:val="clear" w:color="auto" w:fill="auto"/>
            <w:tcW w:w="443" w:type="dxa"/>
            <w:vAlign w:val="center"/>
            <w:textDirection w:val="lrTb"/>
            <w:noWrap w:val="false"/>
          </w:tcPr>
          <w:p>
            <w:pPr>
              <w:ind w:left="-5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/>
          </w:p>
          <w:p>
            <w:pPr>
              <w:ind w:left="-50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shd w:val="clear" w:color="auto" w:fill="auto"/>
            <w:tcW w:w="2387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</w:t>
            </w:r>
            <w:r/>
          </w:p>
        </w:tc>
        <w:tc>
          <w:tcPr>
            <w:shd w:val="clear" w:color="auto" w:fill="auto"/>
            <w:tcW w:w="457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</w:t>
            </w:r>
            <w:r/>
          </w:p>
        </w:tc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ind w:left="-88" w:right="-111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Термін дії сервісного пакету (ліцензії), міс.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К-ть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(од.)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44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highlight w:val="yellow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CON-SNT-BE79M5KH</w:t>
            </w:r>
            <w:r/>
          </w:p>
        </w:tc>
        <w:tc>
          <w:tcPr>
            <w:shd w:val="clear" w:color="auto" w:fill="auto"/>
            <w:tcW w:w="457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Сервісний пакет SNTC-8X5XNBD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Cisco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Business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Edition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7000H (M5)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Applia</w:t>
            </w:r>
            <w:r/>
          </w:p>
        </w:tc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  <w:t xml:space="preserve">12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  <w:t xml:space="preserve">4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44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CON-ECMU-BE67KVSP</w:t>
            </w:r>
            <w:r/>
          </w:p>
        </w:tc>
        <w:tc>
          <w:tcPr>
            <w:shd w:val="clear" w:color="auto" w:fill="auto"/>
            <w:tcW w:w="457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Програмна продукція SWSS UPGRADES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Cisco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BE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Embedded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Virt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Basic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Plus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7x, B</w:t>
            </w:r>
            <w:r/>
          </w:p>
        </w:tc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  <w:t xml:space="preserve">12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  <w:t xml:space="preserve">4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44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CON-ECMU-EURPSPRO</w:t>
            </w:r>
            <w:r/>
          </w:p>
        </w:tc>
        <w:tc>
          <w:tcPr>
            <w:shd w:val="clear" w:color="auto" w:fill="auto"/>
            <w:tcW w:w="457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Програмна продукція SWSS UPGRADES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Cisco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BE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Embedded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Virt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.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Basic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Plus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7x, B</w:t>
            </w:r>
            <w:r/>
          </w:p>
        </w:tc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  <w:t xml:space="preserve">12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150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44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CON-ECMU-CUBETRDE</w:t>
            </w:r>
            <w:r/>
          </w:p>
        </w:tc>
        <w:tc>
          <w:tcPr>
            <w:shd w:val="clear" w:color="auto" w:fill="auto"/>
            <w:tcW w:w="457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Програмна продукція SWSS UPGRADES CUBE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Redundant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Trunk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Single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Session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- 1</w:t>
            </w:r>
            <w:r/>
          </w:p>
        </w:tc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  <w:t xml:space="preserve">8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256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44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CON-SNT-ISR4451V</w:t>
            </w:r>
            <w:r/>
          </w:p>
        </w:tc>
        <w:tc>
          <w:tcPr>
            <w:shd w:val="clear" w:color="auto" w:fill="auto"/>
            <w:tcW w:w="457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Сервісний пакет SNTC-8X5XNBD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Cisco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ISR 4451 UC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Bu</w:t>
            </w:r>
            <w:r/>
          </w:p>
        </w:tc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  <w:t xml:space="preserve">12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44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CON-SNT-FPR21GFN</w:t>
            </w:r>
            <w:r/>
          </w:p>
        </w:tc>
        <w:tc>
          <w:tcPr>
            <w:shd w:val="clear" w:color="auto" w:fill="auto"/>
            <w:tcW w:w="457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Сервісний пакет SNTC-8X5XNBD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Cisco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Firepower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2120 NGFW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Appliance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, 1U</w:t>
            </w:r>
            <w:r/>
          </w:p>
        </w:tc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  <w:t xml:space="preserve">12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44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CON-ECMU-SFFMCK9VC</w:t>
            </w:r>
            <w:r/>
          </w:p>
        </w:tc>
        <w:tc>
          <w:tcPr>
            <w:shd w:val="clear" w:color="auto" w:fill="auto"/>
            <w:tcW w:w="457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Програмна продукція SWSS UPGRADES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Cisco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Firepower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Management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Center</w:t>
            </w:r>
            <w:r/>
          </w:p>
        </w:tc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  <w:t xml:space="preserve">12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44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CON-SNT-C93002TA</w:t>
            </w:r>
            <w:r/>
          </w:p>
        </w:tc>
        <w:tc>
          <w:tcPr>
            <w:shd w:val="clear" w:color="auto" w:fill="auto"/>
            <w:tcW w:w="457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Сервісний пакет SNTC-8X5XNBD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Catalyst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9300 24-port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data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only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,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Network</w:t>
            </w:r>
            <w:r/>
          </w:p>
        </w:tc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  <w:t xml:space="preserve">12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44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CON-SNT-C92004GE</w:t>
            </w:r>
            <w:r/>
          </w:p>
        </w:tc>
        <w:tc>
          <w:tcPr>
            <w:shd w:val="clear" w:color="auto" w:fill="auto"/>
            <w:tcW w:w="457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Сервісний пакет SNTC-8X5XNBD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Catalyst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9200L 48-port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PoE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+, 4 x 1G,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Net</w:t>
            </w:r>
            <w:r/>
          </w:p>
        </w:tc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  <w:t xml:space="preserve">12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44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CON-SNT-P7NK92N9</w:t>
            </w:r>
            <w:r/>
          </w:p>
        </w:tc>
        <w:tc>
          <w:tcPr>
            <w:shd w:val="clear" w:color="auto" w:fill="auto"/>
            <w:tcW w:w="457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Сервісний пакет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Cisco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UC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Phone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7821SNTC-8X5XNBD</w:t>
            </w:r>
            <w:r/>
          </w:p>
        </w:tc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  <w:t xml:space="preserve">12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150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44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CON-SNT-PHERJWE0</w:t>
            </w:r>
            <w:r/>
          </w:p>
        </w:tc>
        <w:tc>
          <w:tcPr>
            <w:shd w:val="clear" w:color="auto" w:fill="auto"/>
            <w:tcW w:w="457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Сервісний пакет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Headset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532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Wired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Dual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+ QD RJ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Headset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CableSNTC-8X5XNBD</w:t>
            </w:r>
            <w:r/>
          </w:p>
        </w:tc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  <w:t xml:space="preserve">12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150</w:t>
            </w:r>
            <w:r/>
          </w:p>
        </w:tc>
      </w:tr>
      <w:tr>
        <w:trPr>
          <w:jc w:val="center"/>
          <w:trHeight w:val="20"/>
        </w:trPr>
        <w:tc>
          <w:tcPr>
            <w:shd w:val="clear" w:color="auto" w:fill="auto"/>
            <w:tcW w:w="443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3"/>
              </w:numPr>
              <w:ind w:left="360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2387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CON-ECMU-EURPCCEP</w:t>
            </w:r>
            <w:r/>
          </w:p>
        </w:tc>
        <w:tc>
          <w:tcPr>
            <w:shd w:val="clear" w:color="auto" w:fill="auto"/>
            <w:tcW w:w="4570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Програмна продукція SWSS UPGRADES CCE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Packaged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Agent</w:t>
            </w:r>
            <w:r>
              <w:rPr>
                <w:rFonts w:ascii="Times New Roman" w:hAnsi="Times New Roman" w:eastAsia="Droid Sans Fallback" w:cs="Times New Roman"/>
                <w:sz w:val="24"/>
                <w:szCs w:val="24"/>
                <w:lang w:eastAsia="hi-IN" w:bidi="hi-IN"/>
              </w:rPr>
              <w:t xml:space="preserve"> </w:t>
            </w:r>
            <w:r/>
          </w:p>
        </w:tc>
        <w:tc>
          <w:tcPr>
            <w:shd w:val="clear" w:color="auto" w:fill="auto"/>
            <w:tcW w:w="152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eastAsia="Droid Sans Fallback" w:cs="Times New Roman"/>
                <w:sz w:val="24"/>
                <w:szCs w:val="24"/>
                <w:lang w:val="en-US" w:eastAsia="hi-IN" w:bidi="hi-IN"/>
              </w:rPr>
              <w:t xml:space="preserve">12</w:t>
            </w:r>
            <w:r/>
          </w:p>
        </w:tc>
        <w:tc>
          <w:tcPr>
            <w:shd w:val="clear" w:color="auto" w:fill="auto"/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50</w:t>
            </w:r>
            <w:r/>
          </w:p>
        </w:tc>
      </w:tr>
    </w:tbl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both"/>
        <w:spacing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Учасник якого</w:t>
      </w:r>
      <w:r>
        <w:rPr>
          <w:rFonts w:ascii="Times New Roman" w:hAnsi="Times New Roman" w:cs="Times New Roman"/>
          <w:sz w:val="24"/>
          <w:szCs w:val="24"/>
        </w:rPr>
        <w:t xml:space="preserve"> визначено переможцем процедури закупівлі, до 01.02.2024 року проводить науково-технічну експертизу та/або експертну оцінку та/або незалежну оцінку вартості послуг, за результатом аукціону/розкриття тендерних пропозицій, вказаних в Додатку 5 до тендерної д</w:t>
      </w:r>
      <w:r>
        <w:rPr>
          <w:rFonts w:ascii="Times New Roman" w:hAnsi="Times New Roman" w:cs="Times New Roman"/>
          <w:sz w:val="24"/>
          <w:szCs w:val="24"/>
        </w:rPr>
        <w:t xml:space="preserve">окументації та надає Замовнику документ що підтверджує вартість вказаних послуг. У разі надання документу де вартість послуг буде нижча ніж зазначив Учасник за результатом аукціону/розкриття тендерних пропозицій, Учасник-Переможець зобов’язується відшкодув</w:t>
      </w:r>
      <w:r>
        <w:rPr>
          <w:rFonts w:ascii="Times New Roman" w:hAnsi="Times New Roman" w:cs="Times New Roman"/>
          <w:sz w:val="24"/>
          <w:szCs w:val="24"/>
        </w:rPr>
        <w:t xml:space="preserve">ати, на рахунок Замовника, різницю між вартістю послуг за результатом проведеної процедури закупівлі та вартістю послуг, що вказана в документі за результатом проведеної експертизи в повному обсязі (надати у складі тендерної документації гарантійний лист).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Calibri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10 340 433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десять мільйонів триста сорок тисяч чотириста тридцять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22"/>
  </w:num>
  <w:num w:numId="5">
    <w:abstractNumId w:val="5"/>
  </w:num>
  <w:num w:numId="6">
    <w:abstractNumId w:val="28"/>
  </w:num>
  <w:num w:numId="7">
    <w:abstractNumId w:val="9"/>
  </w:num>
  <w:num w:numId="8">
    <w:abstractNumId w:val="30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9"/>
  </w:num>
  <w:num w:numId="17">
    <w:abstractNumId w:val="0"/>
  </w:num>
  <w:num w:numId="18">
    <w:abstractNumId w:val="31"/>
  </w:num>
  <w:num w:numId="19">
    <w:abstractNumId w:val="2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16"/>
  </w:num>
  <w:num w:numId="26">
    <w:abstractNumId w:val="20"/>
  </w:num>
  <w:num w:numId="27">
    <w:abstractNumId w:val="25"/>
  </w:num>
  <w:num w:numId="28">
    <w:abstractNumId w:val="18"/>
  </w:num>
  <w:num w:numId="29">
    <w:abstractNumId w:val="26"/>
  </w:num>
  <w:num w:numId="30">
    <w:abstractNumId w:val="13"/>
  </w:num>
  <w:num w:numId="31">
    <w:abstractNumId w:val="2"/>
  </w:num>
  <w:num w:numId="32">
    <w:abstractNumId w:val="1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9"/>
    <w:next w:val="70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1"/>
    <w:link w:val="71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9"/>
    <w:next w:val="70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9"/>
    <w:next w:val="70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9"/>
    <w:next w:val="70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9"/>
    <w:next w:val="70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9"/>
    <w:next w:val="70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9"/>
    <w:next w:val="70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9"/>
    <w:next w:val="70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9"/>
    <w:next w:val="70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1"/>
    <w:link w:val="33"/>
    <w:uiPriority w:val="10"/>
    <w:rPr>
      <w:sz w:val="48"/>
      <w:szCs w:val="48"/>
    </w:rPr>
  </w:style>
  <w:style w:type="paragraph" w:styleId="35">
    <w:name w:val="Subtitle"/>
    <w:basedOn w:val="709"/>
    <w:next w:val="70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1"/>
    <w:link w:val="35"/>
    <w:uiPriority w:val="11"/>
    <w:rPr>
      <w:sz w:val="24"/>
      <w:szCs w:val="24"/>
    </w:rPr>
  </w:style>
  <w:style w:type="paragraph" w:styleId="37">
    <w:name w:val="Quote"/>
    <w:basedOn w:val="709"/>
    <w:next w:val="70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9"/>
    <w:next w:val="70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1"/>
    <w:link w:val="41"/>
    <w:uiPriority w:val="99"/>
  </w:style>
  <w:style w:type="character" w:styleId="44">
    <w:name w:val="Footer Char"/>
    <w:basedOn w:val="711"/>
    <w:link w:val="720"/>
    <w:uiPriority w:val="99"/>
  </w:style>
  <w:style w:type="paragraph" w:styleId="45">
    <w:name w:val="Caption"/>
    <w:basedOn w:val="709"/>
    <w:next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0"/>
    <w:uiPriority w:val="99"/>
  </w:style>
  <w:style w:type="table" w:styleId="48">
    <w:name w:val="Table Grid Light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1"/>
    <w:uiPriority w:val="99"/>
    <w:unhideWhenUsed/>
    <w:rPr>
      <w:vertAlign w:val="superscript"/>
    </w:rPr>
  </w:style>
  <w:style w:type="paragraph" w:styleId="177">
    <w:name w:val="endnote text"/>
    <w:basedOn w:val="70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1"/>
    <w:uiPriority w:val="99"/>
    <w:semiHidden/>
    <w:unhideWhenUsed/>
    <w:rPr>
      <w:vertAlign w:val="superscript"/>
    </w:rPr>
  </w:style>
  <w:style w:type="paragraph" w:styleId="180">
    <w:name w:val="toc 1"/>
    <w:basedOn w:val="709"/>
    <w:next w:val="70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9"/>
    <w:next w:val="70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9"/>
    <w:next w:val="70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9"/>
    <w:next w:val="70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9"/>
    <w:next w:val="70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9"/>
    <w:next w:val="70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9"/>
    <w:next w:val="70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9"/>
    <w:next w:val="70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9"/>
    <w:next w:val="70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9"/>
    <w:next w:val="709"/>
    <w:uiPriority w:val="99"/>
    <w:unhideWhenUsed/>
    <w:pPr>
      <w:spacing w:after="0" w:afterAutospacing="0"/>
    </w:pPr>
  </w:style>
  <w:style w:type="paragraph" w:styleId="709" w:default="1">
    <w:name w:val="Normal"/>
    <w:qFormat/>
    <w:rPr>
      <w:lang w:val="uk-UA"/>
    </w:rPr>
  </w:style>
  <w:style w:type="paragraph" w:styleId="710">
    <w:name w:val="Heading 2"/>
    <w:basedOn w:val="709"/>
    <w:link w:val="72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paragraph" w:styleId="714">
    <w:name w:val="List Paragraph"/>
    <w:basedOn w:val="709"/>
    <w:link w:val="715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5" w:customStyle="1">
    <w:name w:val="Абзац списку Знак"/>
    <w:link w:val="714"/>
    <w:uiPriority w:val="34"/>
    <w:qFormat/>
    <w:rPr>
      <w:rFonts w:ascii="Calibri" w:hAnsi="Calibri" w:eastAsia="Calibri" w:cs="Calibri"/>
      <w:lang w:eastAsia="zh-CN"/>
    </w:rPr>
  </w:style>
  <w:style w:type="table" w:styleId="716">
    <w:name w:val="Table Grid"/>
    <w:basedOn w:val="7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7" w:customStyle="1">
    <w:name w:val="Сетка таблицы2"/>
    <w:basedOn w:val="712"/>
    <w:next w:val="71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8">
    <w:name w:val="Normal (Web)"/>
    <w:basedOn w:val="709"/>
    <w:link w:val="725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9" w:customStyle="1">
    <w:name w:val="Сетка таблицы1"/>
    <w:basedOn w:val="712"/>
    <w:next w:val="71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0">
    <w:name w:val="Footer"/>
    <w:basedOn w:val="709"/>
    <w:link w:val="72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1" w:customStyle="1">
    <w:name w:val="Нижній колонтитул Знак"/>
    <w:basedOn w:val="711"/>
    <w:link w:val="720"/>
    <w:uiPriority w:val="99"/>
    <w:rPr>
      <w:rFonts w:ascii="Calibri" w:hAnsi="Calibri" w:eastAsia="Calibri" w:cs="Calibri"/>
      <w:lang w:eastAsia="zh-CN"/>
    </w:rPr>
  </w:style>
  <w:style w:type="paragraph" w:styleId="72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3">
    <w:name w:val="Hyperlink"/>
    <w:basedOn w:val="711"/>
    <w:uiPriority w:val="99"/>
    <w:unhideWhenUsed/>
    <w:rPr>
      <w:color w:val="0563c1" w:themeColor="hyperlink"/>
      <w:u w:val="single"/>
    </w:rPr>
  </w:style>
  <w:style w:type="character" w:styleId="724" w:customStyle="1">
    <w:name w:val="xfm_93972720"/>
    <w:basedOn w:val="711"/>
  </w:style>
  <w:style w:type="character" w:styleId="725" w:customStyle="1">
    <w:name w:val="Звичайний (веб) Знак"/>
    <w:link w:val="718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6">
    <w:name w:val="Body Text 2"/>
    <w:basedOn w:val="709"/>
    <w:link w:val="72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7" w:customStyle="1">
    <w:name w:val="Основний текст 2 Знак"/>
    <w:basedOn w:val="711"/>
    <w:link w:val="72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9" w:customStyle="1">
    <w:name w:val="Заголовок 2 Знак"/>
    <w:basedOn w:val="711"/>
    <w:link w:val="71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0">
    <w:name w:val="No Spacing"/>
    <w:link w:val="73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1" w:customStyle="1">
    <w:name w:val="Без інтервалів Знак"/>
    <w:basedOn w:val="711"/>
    <w:link w:val="730"/>
    <w:uiPriority w:val="1"/>
    <w:rPr>
      <w:rFonts w:ascii="Calibri" w:hAnsi="Calibri" w:eastAsia="Calibri" w:cs="Times New Roman"/>
      <w:lang w:val="uk-UA"/>
    </w:rPr>
  </w:style>
  <w:style w:type="character" w:styleId="732" w:customStyle="1">
    <w:name w:val="Другое_"/>
    <w:basedOn w:val="711"/>
    <w:link w:val="733"/>
    <w:rPr>
      <w:rFonts w:ascii="Calibri" w:hAnsi="Calibri" w:eastAsia="Calibri" w:cs="Calibri"/>
      <w:sz w:val="20"/>
      <w:szCs w:val="20"/>
    </w:rPr>
  </w:style>
  <w:style w:type="paragraph" w:styleId="733" w:customStyle="1">
    <w:name w:val="Другое"/>
    <w:basedOn w:val="709"/>
    <w:link w:val="73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5" w:customStyle="1">
    <w:name w:val="Основной текст (2)_"/>
    <w:basedOn w:val="711"/>
    <w:link w:val="736"/>
    <w:rPr>
      <w:rFonts w:eastAsia="Times New Roman" w:cs="Times New Roman"/>
      <w:shd w:val="clear" w:color="auto" w:fill="ffffff"/>
    </w:rPr>
  </w:style>
  <w:style w:type="paragraph" w:styleId="736" w:customStyle="1">
    <w:name w:val="Основной текст (2)"/>
    <w:basedOn w:val="709"/>
    <w:link w:val="73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7" w:customStyle="1">
    <w:name w:val="Текст у виносці Знак"/>
    <w:basedOn w:val="711"/>
    <w:link w:val="73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8">
    <w:name w:val="Balloon Text"/>
    <w:basedOn w:val="709"/>
    <w:link w:val="73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9" w:customStyle="1">
    <w:name w:val="Текст у виносці Знак1"/>
    <w:basedOn w:val="71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0" w:customStyle="1">
    <w:name w:val="T23"/>
    <w:rPr>
      <w:rFonts w:hint="default" w:ascii="Times New Roman" w:hAnsi="Times New Roman" w:eastAsia="Times New Roman1" w:cs="Times New Roman"/>
    </w:rPr>
  </w:style>
  <w:style w:type="paragraph" w:styleId="741" w:customStyle="1">
    <w:name w:val="Абзац списку1"/>
    <w:basedOn w:val="709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2" w:customStyle="1">
    <w:name w:val="markedcontent"/>
    <w:basedOn w:val="711"/>
  </w:style>
  <w:style w:type="paragraph" w:styleId="743">
    <w:name w:val="annotation text"/>
    <w:basedOn w:val="709"/>
    <w:link w:val="74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4" w:customStyle="1">
    <w:name w:val="Текст примітки Знак"/>
    <w:basedOn w:val="711"/>
    <w:link w:val="74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145</cp:revision>
  <dcterms:created xsi:type="dcterms:W3CDTF">2022-11-01T12:47:00Z</dcterms:created>
  <dcterms:modified xsi:type="dcterms:W3CDTF">2023-12-13T21:44:53Z</dcterms:modified>
</cp:coreProperties>
</file>