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автоматизованих робочих місць за кодом CPV за ЄЗС ДК 021:2015: 30210000-4 Машини для обробки даних (апаратна частина)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010786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автоматизованих робочих місць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/>
      <w:bookmarkStart w:id="0" w:name="_Hlk133583335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690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  <w:lang w:val="ru-RU"/>
              </w:rPr>
            </w:pPr>
            <w:r>
              <w:rPr>
                <w:rFonts w:eastAsia="Times New Roman"/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vAlign w:val="center"/>
            <w:textDirection w:val="lrTb"/>
            <w:noWrap w:val="false"/>
          </w:tcPr>
          <w:p>
            <w:pPr>
              <w:pStyle w:val="692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Автоматизоване робоче місце 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  <w:color w:val="000000"/>
              </w:rPr>
              <w:t xml:space="preserve">шт.</w:t>
            </w:r>
            <w:r/>
          </w:p>
        </w:tc>
      </w:tr>
    </w:tbl>
    <w:p>
      <w:pPr>
        <w:pStyle w:val="692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pStyle w:val="692"/>
        <w:jc w:val="both"/>
        <w:spacing w:after="0"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eastAsia="Times New Roman"/>
          <w:b/>
          <w:bCs/>
          <w:i/>
          <w:iCs/>
          <w:lang w:eastAsia="ru-RU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eastAsia="Times New Roman"/>
          <w:b/>
          <w:bCs/>
          <w:i/>
          <w:iCs/>
          <w:lang w:eastAsia="ru-RU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eastAsia="Times New Roman"/>
          <w:b/>
          <w:bCs/>
          <w:i/>
          <w:iCs/>
          <w:lang w:eastAsia="ru-RU"/>
        </w:rPr>
        <w:t xml:space="preserve">проєкту</w:t>
      </w:r>
      <w:r>
        <w:rPr>
          <w:rFonts w:eastAsia="Times New Roman"/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rFonts w:eastAsia="Times New Roman"/>
          <w:b/>
          <w:bCs/>
          <w:i/>
          <w:iCs/>
          <w:lang w:eastAsia="uk-UA"/>
        </w:rPr>
        <w:t xml:space="preserve">.</w:t>
      </w:r>
      <w:r/>
    </w:p>
    <w:p>
      <w:pPr>
        <w:pStyle w:val="692"/>
        <w:ind w:firstLine="567"/>
        <w:jc w:val="both"/>
        <w:spacing w:after="0" w:line="240" w:lineRule="auto"/>
        <w:rPr>
          <w:rFonts w:eastAsia="Times New Roman"/>
          <w:color w:val="000000" w:themeColor="text1"/>
          <w:shd w:val="clear" w:color="auto" w:fill="ffffff"/>
        </w:rPr>
      </w:pPr>
      <w:r/>
      <w:bookmarkStart w:id="1" w:name="_Hlk131598067"/>
      <w:r>
        <w:rPr>
          <w:rFonts w:eastAsia="Times New Roman"/>
          <w:color w:val="000000" w:themeColor="text1"/>
          <w:shd w:val="clear" w:color="auto" w:fill="ffffff"/>
          <w:lang w:eastAsia="uk-UA"/>
        </w:rPr>
        <w:t xml:space="preserve">1. Товар повинен постачатись новим в упаковці та з маркуванням виробника, а також повинна бути в наявності технічна документація, яка входить до комплекту постачання фірми-виробника.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2. У разі постачання неякісного Товару, Постачальник забезпечує заміну неякісного Товару якісним за власний рахунок при пред’явлені Покупцем не пізніше 7 робочих днів після отримання Товару.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3. Наявність заявлених Покупцем недоліків та причини їх виникнення повинно встановлюватись актом обстеження технічного стану Товару, який обов’язково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укладається між Сторонами і є підставою для усунення Постачальником недоліків Товару у термін, що узгоджується за домовленістю Сторін. Акт обстеження технічного стану складається сервісним (технічним) центром Постачальника за участю представника Покупця. 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Виконання постачання повинно здійснюватися у відповідно до діючих нормативно-правових документів та умов цього </w:t>
      </w:r>
      <w:r>
        <w:rPr>
          <w:rFonts w:ascii="Times New Roman" w:hAnsi="Times New Roman" w:cs="Times New Roman"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sz w:val="24"/>
          <w:szCs w:val="24"/>
        </w:rPr>
        <w:t xml:space="preserve"> Договору.</w:t>
      </w:r>
      <w:bookmarkStart w:id="2" w:name="_Hlk131682113"/>
      <w:r/>
      <w:bookmarkEnd w:id="1"/>
      <w:r/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bookmarkEnd w:id="2"/>
      <w:r>
        <w:rPr>
          <w:rFonts w:ascii="Times New Roman" w:hAnsi="Times New Roman" w:cs="Times New Roman"/>
          <w:sz w:val="24"/>
          <w:szCs w:val="24"/>
        </w:rPr>
        <w:t xml:space="preserve"> </w:t>
      </w:r>
      <w:r/>
    </w:p>
    <w:p>
      <w:pPr>
        <w:pStyle w:val="688"/>
        <w:ind w:left="0"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uk-UA" w:eastAsia="ar-S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6. </w:t>
      </w:r>
      <w:r>
        <w:rPr>
          <w:rFonts w:ascii="Times New Roman" w:hAnsi="Times New Roman" w:cs="Times New Roman"/>
          <w:sz w:val="24"/>
          <w:szCs w:val="24"/>
        </w:rPr>
        <w:t xml:space="preserve">Гарантійні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зобов’язання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 xml:space="preserve">всіх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найменувань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повинні</w:t>
      </w:r>
      <w:r>
        <w:rPr>
          <w:rFonts w:ascii="Times New Roman" w:hAnsi="Times New Roman" w:cs="Times New Roman"/>
          <w:sz w:val="24"/>
          <w:szCs w:val="24"/>
        </w:rPr>
        <w:t xml:space="preserve"> бути не </w:t>
      </w:r>
      <w:r>
        <w:rPr>
          <w:rFonts w:ascii="Times New Roman" w:hAnsi="Times New Roman" w:cs="Times New Roman"/>
          <w:sz w:val="24"/>
          <w:szCs w:val="24"/>
        </w:rPr>
        <w:t xml:space="preserve">менше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строків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визначених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технічними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умовами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виробника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товарів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складати не менше 12 ти місяців з дати підписання видаткової накладної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Постачальник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повинен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забезпечити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обслуговування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підтримку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протягом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гарантійного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терміну</w:t>
      </w:r>
      <w:r>
        <w:rPr>
          <w:rFonts w:ascii="Times New Roman" w:hAnsi="Times New Roman" w:cs="Times New Roman"/>
          <w:sz w:val="24"/>
          <w:szCs w:val="24"/>
          <w:lang w:val="uk-UA" w:eastAsia="ar-SA"/>
        </w:rPr>
        <w:t xml:space="preserve"> (надати гарантійний лист).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7. Учаснику у складі пропозиції надати копію сертифікату відповідності та/або декларацію відповідності та/або паспорту на товар.</w:t>
      </w:r>
      <w:r/>
    </w:p>
    <w:p>
      <w:pPr>
        <w:ind w:firstLine="56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Відповідати  вимогам діючого природоохоронного  законодавства, та мати відповідні дозволи.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Товар повинен бути офіційно ввезений на територію України та мати відповідні документи (надати гарантійний лист).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ind w:left="14" w:firstLine="538"/>
        <w:jc w:val="both"/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p>
      <w:pPr>
        <w:contextualSpacing/>
        <w:ind w:left="14" w:firstLine="538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</w:r>
      <w:r/>
    </w:p>
    <w:p>
      <w:pPr>
        <w:pStyle w:val="692"/>
        <w:ind w:firstLine="567"/>
        <w:jc w:val="center"/>
        <w:spacing w:after="0" w:line="240" w:lineRule="auto"/>
        <w:rPr>
          <w:rStyle w:val="714"/>
          <w:b/>
          <w:lang w:eastAsia="ru-RU"/>
        </w:rPr>
      </w:pPr>
      <w:r>
        <w:rPr>
          <w:rStyle w:val="714"/>
          <w:b/>
          <w:bCs/>
          <w:lang w:eastAsia="ru-RU"/>
        </w:rPr>
        <w:t xml:space="preserve">СПЕЦИФІКАЦІЯ</w:t>
      </w:r>
      <w:bookmarkEnd w:id="0"/>
      <w:r/>
    </w:p>
    <w:tbl>
      <w:tblPr>
        <w:tblW w:w="99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85"/>
        <w:gridCol w:w="1677"/>
        <w:gridCol w:w="6802"/>
        <w:gridCol w:w="851"/>
      </w:tblGrid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Назва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Характеристики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Кількість,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>
          <w:trHeight w:val="645"/>
        </w:trPr>
        <w:tc>
          <w:tcPr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067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Автоматизоване робоче місце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 складі: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</w:t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Системний блок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Intel Core i5-11400/Asus PRIME B560M-A/ Patriot DDR4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GB 3200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х 1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шт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SSD</w:t>
            </w:r>
            <w:r/>
          </w:p>
          <w:p>
            <w:pPr>
              <w:pStyle w:val="707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 w:bidi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bidi="en-US"/>
              </w:rPr>
              <w:t xml:space="preserve">Kingston 2.5" 480GB SATA A400/ASUS PCE- N15 N300 PCI Express/2E ALFA (E190-3U)/ GIGABYTE P550B (550W) 80+Bronze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 не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гірше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en-US"/>
              </w:rPr>
              <w:t xml:space="preserve"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ОС: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 w:bidi="uk-UA"/>
              </w:rPr>
              <w:t xml:space="preserve">Windows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uk-UA" w:bidi="uk-UA"/>
              </w:rPr>
              <w:t xml:space="preserve">pro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</w:t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 w:bidi="uk-UA"/>
              </w:rPr>
              <w:t xml:space="preserve">Монітор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гірше: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Діагональ 23,8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Макс.роздільна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здатність: 1920 x 1080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HD)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 матриці: IPS (PLS, AHVA, WVA, UWVA)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Покриття екрану: Матове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Глибина кольору: 16700000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Частота оновлення: 75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відгуку: мс 1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Яскравість: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/м² 250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Контрастність номінал:  1 000 : 1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 огляду по вертикалі: град. 178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Кут огляду по горизонталі:  град. 178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Розмір пікселя:  мм 0,275 x 0,275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Підсвічування: WLED (світлодіодне підсвічування) </w:t>
            </w:r>
            <w:r/>
          </w:p>
          <w:p>
            <w:pPr>
              <w:pStyle w:val="70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Технології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Comfy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View,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Flicker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Free,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Blue Light,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Low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Dimming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ZeroFrame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Ігрові технології: AMD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FreeSync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</w:t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Клавіатура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клавіатури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Мембранні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дротова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Інтерфейс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гірше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USB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гірше: 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Формат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Класичні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Кількість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клавішне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менше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5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шт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Function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Volume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mute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play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/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pause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backward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,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forward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)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Фізичні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Колір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чорний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Вага 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більше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503 г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Габарити (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ВxШxГ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) не більше 24.4 x 442 x 127 мм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</w:t>
            </w:r>
            <w:r/>
          </w:p>
        </w:tc>
      </w:tr>
      <w:tr>
        <w:trPr>
          <w:trHeight w:val="645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86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77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Миша комп’ютерна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804" w:type="dxa"/>
            <w:vAlign w:val="center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гірше: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дротове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Інтерфейс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підключення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USB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Тип сенсора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оптична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Довжина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проводу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менше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1.8 м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DPI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не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гірше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1000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dpi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Особливості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Кількість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кнопок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2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Кількість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коліс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 прокрутки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  <w:t xml:space="preserve">1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Фізичні</w:t>
            </w:r>
            <w:r/>
          </w:p>
          <w:p>
            <w:pPr>
              <w:pStyle w:val="707"/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Колір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uk-UA"/>
              </w:rPr>
              <w:t xml:space="preserve">чорний</w:t>
            </w:r>
            <w:r/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Вага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ab/>
              <w:t xml:space="preserve">не більше 413 г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</w:t>
            </w:r>
            <w:r/>
          </w:p>
        </w:tc>
      </w:tr>
    </w:tbl>
    <w:p>
      <w:pPr>
        <w:ind w:firstLine="263"/>
        <w:jc w:val="both"/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ru-RU"/>
        </w:rPr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ник пропонує товар, технічні характеристики якого відрізняються від наведених вище, він повинен 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358 686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 п’ятдесят 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шістсот вісімдесят шість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3"/>
    <w:next w:val="68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5"/>
    <w:link w:val="68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3"/>
    <w:next w:val="68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3"/>
    <w:next w:val="68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3"/>
    <w:next w:val="68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3"/>
    <w:next w:val="68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3"/>
    <w:next w:val="68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3"/>
    <w:next w:val="68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3"/>
    <w:next w:val="68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3"/>
    <w:next w:val="68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5"/>
    <w:link w:val="33"/>
    <w:uiPriority w:val="10"/>
    <w:rPr>
      <w:sz w:val="48"/>
      <w:szCs w:val="48"/>
    </w:rPr>
  </w:style>
  <w:style w:type="paragraph" w:styleId="35">
    <w:name w:val="Subtitle"/>
    <w:basedOn w:val="683"/>
    <w:next w:val="68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5"/>
    <w:link w:val="35"/>
    <w:uiPriority w:val="11"/>
    <w:rPr>
      <w:sz w:val="24"/>
      <w:szCs w:val="24"/>
    </w:rPr>
  </w:style>
  <w:style w:type="paragraph" w:styleId="37">
    <w:name w:val="Quote"/>
    <w:basedOn w:val="683"/>
    <w:next w:val="68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3"/>
    <w:next w:val="68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5"/>
    <w:link w:val="41"/>
    <w:uiPriority w:val="99"/>
  </w:style>
  <w:style w:type="character" w:styleId="44">
    <w:name w:val="Footer Char"/>
    <w:basedOn w:val="685"/>
    <w:link w:val="694"/>
    <w:uiPriority w:val="99"/>
  </w:style>
  <w:style w:type="paragraph" w:styleId="4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4"/>
    <w:uiPriority w:val="99"/>
  </w:style>
  <w:style w:type="table" w:styleId="48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5"/>
    <w:uiPriority w:val="99"/>
    <w:unhideWhenUsed/>
    <w:rPr>
      <w:vertAlign w:val="superscript"/>
    </w:rPr>
  </w:style>
  <w:style w:type="paragraph" w:styleId="177">
    <w:name w:val="endnote text"/>
    <w:basedOn w:val="68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5"/>
    <w:uiPriority w:val="99"/>
    <w:semiHidden/>
    <w:unhideWhenUsed/>
    <w:rPr>
      <w:vertAlign w:val="superscript"/>
    </w:rPr>
  </w:style>
  <w:style w:type="paragraph" w:styleId="180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lang w:val="uk-UA"/>
    </w:rPr>
  </w:style>
  <w:style w:type="paragraph" w:styleId="684">
    <w:name w:val="Heading 2"/>
    <w:basedOn w:val="683"/>
    <w:link w:val="7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List Paragraph"/>
    <w:basedOn w:val="683"/>
    <w:link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9" w:customStyle="1">
    <w:name w:val="Абзац списку Знак"/>
    <w:link w:val="688"/>
    <w:uiPriority w:val="34"/>
    <w:rPr>
      <w:rFonts w:ascii="Calibri" w:hAnsi="Calibri" w:eastAsia="Calibri" w:cs="Calibri"/>
      <w:lang w:eastAsia="zh-CN"/>
    </w:rPr>
  </w:style>
  <w:style w:type="table" w:styleId="690">
    <w:name w:val="Table Grid"/>
    <w:basedOn w:val="6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Сетка таблицы2"/>
    <w:basedOn w:val="686"/>
    <w:next w:val="69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Normal (Web)"/>
    <w:basedOn w:val="683"/>
    <w:link w:val="699"/>
    <w:unhideWhenUsed/>
    <w:qFormat/>
    <w:rPr>
      <w:rFonts w:ascii="Times New Roman" w:hAnsi="Times New Roman" w:cs="Times New Roman"/>
      <w:sz w:val="24"/>
      <w:szCs w:val="24"/>
    </w:rPr>
  </w:style>
  <w:style w:type="table" w:styleId="693" w:customStyle="1">
    <w:name w:val="Сетка таблицы1"/>
    <w:basedOn w:val="686"/>
    <w:next w:val="69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Footer"/>
    <w:basedOn w:val="683"/>
    <w:link w:val="69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5" w:customStyle="1">
    <w:name w:val="Нижній колонтитул Знак"/>
    <w:basedOn w:val="685"/>
    <w:link w:val="694"/>
    <w:uiPriority w:val="99"/>
    <w:rPr>
      <w:rFonts w:ascii="Calibri" w:hAnsi="Calibri" w:eastAsia="Calibri" w:cs="Calibri"/>
      <w:lang w:eastAsia="zh-CN"/>
    </w:rPr>
  </w:style>
  <w:style w:type="paragraph" w:styleId="69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698" w:customStyle="1">
    <w:name w:val="xfm_93972720"/>
    <w:basedOn w:val="685"/>
  </w:style>
  <w:style w:type="character" w:styleId="699" w:customStyle="1">
    <w:name w:val="Звичайний (веб) Знак"/>
    <w:link w:val="692"/>
    <w:qFormat/>
    <w:rPr>
      <w:rFonts w:ascii="Times New Roman" w:hAnsi="Times New Roman" w:cs="Times New Roman"/>
      <w:sz w:val="24"/>
      <w:szCs w:val="24"/>
      <w:lang w:val="uk-UA"/>
    </w:rPr>
  </w:style>
  <w:style w:type="paragraph" w:styleId="700">
    <w:name w:val="Body Text 2"/>
    <w:basedOn w:val="683"/>
    <w:link w:val="70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1" w:customStyle="1">
    <w:name w:val="Основний текст 2 Знак"/>
    <w:basedOn w:val="685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3" w:customStyle="1">
    <w:name w:val="Заголовок 2 Знак"/>
    <w:basedOn w:val="685"/>
    <w:link w:val="68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4">
    <w:name w:val="No Spacing"/>
    <w:link w:val="70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5" w:customStyle="1">
    <w:name w:val="Без інтервалів Знак"/>
    <w:basedOn w:val="685"/>
    <w:link w:val="704"/>
    <w:uiPriority w:val="1"/>
    <w:rPr>
      <w:rFonts w:ascii="Calibri" w:hAnsi="Calibri" w:eastAsia="Calibri" w:cs="Times New Roman"/>
      <w:lang w:val="uk-UA"/>
    </w:rPr>
  </w:style>
  <w:style w:type="character" w:styleId="706" w:customStyle="1">
    <w:name w:val="Другое_"/>
    <w:basedOn w:val="685"/>
    <w:link w:val="707"/>
    <w:rPr>
      <w:rFonts w:ascii="Calibri" w:hAnsi="Calibri" w:eastAsia="Calibri" w:cs="Calibri"/>
      <w:sz w:val="20"/>
      <w:szCs w:val="20"/>
    </w:rPr>
  </w:style>
  <w:style w:type="paragraph" w:styleId="707" w:customStyle="1">
    <w:name w:val="Другое"/>
    <w:basedOn w:val="683"/>
    <w:link w:val="70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9" w:customStyle="1">
    <w:name w:val="Основной текст (2)_"/>
    <w:basedOn w:val="685"/>
    <w:link w:val="710"/>
    <w:rPr>
      <w:rFonts w:eastAsia="Times New Roman" w:cs="Times New Roman"/>
      <w:shd w:val="clear" w:color="auto" w:fill="ffffff"/>
    </w:rPr>
  </w:style>
  <w:style w:type="paragraph" w:styleId="710" w:customStyle="1">
    <w:name w:val="Основной текст (2)"/>
    <w:basedOn w:val="683"/>
    <w:link w:val="70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1" w:customStyle="1">
    <w:name w:val="Текст у виносці Знак"/>
    <w:basedOn w:val="685"/>
    <w:link w:val="7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2">
    <w:name w:val="Balloon Text"/>
    <w:basedOn w:val="683"/>
    <w:link w:val="71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3" w:customStyle="1">
    <w:name w:val="Текст у виносці Знак1"/>
    <w:basedOn w:val="68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4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131</cp:revision>
  <dcterms:created xsi:type="dcterms:W3CDTF">2022-11-01T12:47:00Z</dcterms:created>
  <dcterms:modified xsi:type="dcterms:W3CDTF">2023-08-08T17:58:17Z</dcterms:modified>
</cp:coreProperties>
</file>