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автоматизованих робочих місць за кодом CPV за ЄЗС ДК 021:2015: 39210000-4 Машини для обробки даних (апаратна частина)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07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013210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автоматизованих робочих місць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0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№2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№3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№4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  <w:smallCap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№5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703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9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Відповідати  вимогам діючого природоохоронного  законодавства, та мати відповідні дозволи.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03"/>
        <w:ind w:firstLine="567"/>
        <w:jc w:val="center"/>
        <w:spacing w:after="0" w:line="240" w:lineRule="auto"/>
        <w:rPr>
          <w:rStyle w:val="720"/>
          <w:b/>
          <w:lang w:eastAsia="ru-RU"/>
        </w:rPr>
      </w:pPr>
      <w:r>
        <w:rPr>
          <w:rStyle w:val="720"/>
          <w:b/>
          <w:bCs/>
          <w:lang w:eastAsia="ru-RU"/>
        </w:rPr>
        <w:t xml:space="preserve">СПЕЦИФІКАЦІЯ</w:t>
      </w:r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1276"/>
        <w:gridCol w:w="5526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15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№1,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3,60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5,00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шт.</w:t>
            </w:r>
            <w:r/>
          </w:p>
        </w:tc>
      </w:tr>
      <w:tr>
        <w:trPr>
          <w:trHeight w:val="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A4500 20GB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9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портів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(5+1)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3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6E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2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135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2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48.5”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1000R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5120 x 1440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420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2500:1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240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висоті, з гніздо для навушників 3.5 мм,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моніторів - 3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1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бездротовий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Технологія: Не гірше ніж лінійно-інтерактивний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повна, ВА: не менше 2000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активна, Вт: не менше 1200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тип вихідних роз'ємів: не менше 4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ємність встановлених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2 х 9.0Аг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USB інтерфейс, LCD екран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системний блок та монітор  - не менше ніж 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клавіатуру, мишу та ДБЖ - не менше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№2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3,60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5,00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шт.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A4500 20GB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0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портів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(5+1)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3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6E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1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135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2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48.5”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1000R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5120 x 1440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420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2500:1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240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висоті, з гніздо для навушників 3.5 мм,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1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бездротовий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Технологія: Не гірше ніж лінійно-інтерактивний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повна, ВА: не менше 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активна, Вт: не менше 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тип вихідних роз'ємів: не менше 4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ємність встановлених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2 х 9.0Аг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USB інтерфейс, LCD екран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системний блок та монітор  - не менше ніж 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клавіатуру, мишу та ДБЖ - не менше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№3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3,60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5,00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шт.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A4500 20GB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0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портів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(5+1)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3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6E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2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135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1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27”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плоский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IPS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2560 x 1440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350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1000:1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1 x DP, 1x HDMI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моніторів - 2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1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бездротовий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Технологія: Не гірше ніж лінійно-інтерактивний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повна, ВА: не менше 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активна, Вт: не менше 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тип вихідних роз'ємів: не менше 4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ємність встановлених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2 х 9.0Аг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USB інтерфейс, LCD екран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Акустична система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Мультимедійна акустика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Потужність, Вт: не менше ніж 20 (2 х 10)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Частотний діапазон,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вужче 40 - 20000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каналів: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Регулювання високих та низьких частот: 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системний блок та монітор  - не менше ніж 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клавіатуру, мишу, ДБЖ та акустичну систему - не менше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№4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3,60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5,00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шт.</w:t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A4500 20GB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портів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(5+1)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3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6E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135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0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27”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плоский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IPS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2560 x 1440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350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1000:1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165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1 x DP, 1x HDMI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моніторів - 3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5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бездротовий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Технологія: Не гірше ніж лінійно-інтерактивний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повна, ВА: не менше 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активна, Вт: не менше 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тип вихідних роз'ємів: не менше 4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ємність встановлених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2 х 9.0Аг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USB інтерфейс, LCD екран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Акустична система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Мультимедійна акустика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Потужність, Вт: не менше ніж 20 (2 х 10)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Частотний діапазон,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вужче 40 - 20000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каналів: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Регулювання високих та низьких частот: 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системний блок та монітор  - не менше ніж 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клавіатуру, мишу, ДБЖ та акустичну систему - не менше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5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№5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3,60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5,00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шт.</w:t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64Gb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1TB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Дискретний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Nvidia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Quadro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RTX A4500 20GB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0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7 портів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2.0 на задній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6 (5+1) Аудіо портів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3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6E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9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650W 80+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вентилятор блоку живлення не менше 135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42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діагоналі: Не менше ніж 48.5”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екрану: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Curved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кривизною 1000R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панелі: Не гірше ніж VA, матове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Роздільна здатність: Не гірше ніж 5120 x 1440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Кут огляду дисплея по горизонталі та вертикалі: Не гірше ніж 178 градусів.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Яскравість: Не гірше ніж 420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/м2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Контрастність: Не гірше ніж 2500:1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частота оновлення: Не гірше ніж 240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 відгуку: Не гірше ніж 1 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Порти: Не менше ніж 2 x DP, 1x HDMI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VESA кріплення: Не гірше 100 х 100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Поворотний, з регулюванням по висоті, з гніздо для навушників 3.5 мм,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моніторів - 2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5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101,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бездротовий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Технологія: Не гірше ніж лінійно-інтерактивний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повна, ВА: не менше 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 активна, Вт: не менше 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тип вихідних роз'ємів: не менше 4 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та ємність встановлених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2 х 9.0Аг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USB інтерфейс, LCD екран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6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Акустична система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Мультимедійна акустика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Потужність, Вт: не менше ніж 20 (2 х 10)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Частотний діапазон,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вужче 40 - 20000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каналів: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Регулювання високих та низьких частот: 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системний блок та монітор  - не менше ніж 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клавіатуру, мишу, ДБЖ та акустичну систему - не менше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 підтвердження відповідності товару, що входить до предмету закупівлі, Учасник повинен надати копію Декларації відповідності вимогам наступних нормативних документів: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Технічний регламент з електромагнітної сумісності обладнання, затверджений постановою Кабінету Міністрів в від 16 грудня 2015 р. N 1077;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Технічний регламент низьковольтного електричного обладнання, затверджений постановою Кабінету Міністрів в від 16 грудня 2015 р. N 1067.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Технічний регламент обмеження використання деяких небезпечних речовин в електричному та електронному обладнанні (ПКМУ №139 від 10.03.2017).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 підтвердження відповідності товару Учасник повинен надати копію наступних сертифікатів: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Сертифікату на систему управління якістю ДСТУ ISO 9001:2018;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Сертифікату на систему екологічного керування ДСТУ ISO 14001:2015;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Сертифікату на системи менеджменту інформаційної безпеки ISO/IEC 27001:2013.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Сертифікату на системи менеджменту охорони здоров'я та безпеки праці. Вимоги та настанови щодо застосовування ISO 45001:2018.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Якщо Учасник не є виробником товару, що входить до предмету закупівлі (комп’ютери та монітори), то він повинен надати лист від виробника продукції або його офіційного представника на території України, який підтверджує</w:t>
      </w:r>
      <w:r>
        <w:rPr>
          <w:rFonts w:ascii="Times New Roman" w:hAnsi="Times New Roman" w:cs="Times New Roman"/>
          <w:sz w:val="24"/>
          <w:szCs w:val="24"/>
        </w:rPr>
        <w:t xml:space="preserve"> представницькі (партнерські) повноваження учасника. Лист повинен бути адресований Учаснику або Замовнику, та містити інформацію з посиланням на номер і дату оприлюднення оголошення на веб-порталі Уповноваженого органу, найменування запропонованого Товару.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 Учасник у документах, що містять технічний опис предмета закупівлі та додаються до тендерної пропозиції (інформації про відповідність тендерної пропозиції технічним, якісним, кількісним та іншим характеристикам), повинен чітко вказати специфікації проду</w:t>
      </w:r>
      <w:r>
        <w:rPr>
          <w:rFonts w:ascii="Times New Roman" w:hAnsi="Times New Roman" w:cs="Times New Roman"/>
          <w:sz w:val="24"/>
          <w:szCs w:val="24"/>
        </w:rPr>
        <w:t xml:space="preserve">ктів, які будуть запропоновані замовнику, для задоволення технічних вимог тендерної документації. Специфікації повинні бути вказані зі ступенем деталізації, достатнім для внесення специфікацій у договір про закупівлю, а також для виконання самого договору.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Учасник надає перелік сервісних центрів служби технічної підтримки, у яких буде здійснюватися гарантійне обслуговування персональних комп’ютерів та моніторів, що входять до складу </w:t>
      </w:r>
      <w:r>
        <w:rPr>
          <w:rFonts w:ascii="Times New Roman" w:hAnsi="Times New Roman" w:cs="Times New Roman"/>
          <w:sz w:val="24"/>
          <w:szCs w:val="24"/>
        </w:rPr>
        <w:t xml:space="preserve">АРМів</w:t>
      </w:r>
      <w:r>
        <w:rPr>
          <w:rFonts w:ascii="Times New Roman" w:hAnsi="Times New Roman" w:cs="Times New Roman"/>
          <w:sz w:val="24"/>
          <w:szCs w:val="24"/>
        </w:rPr>
        <w:t xml:space="preserve">, на території України. Під час постачання Учасник надає гарантійні талони зі строком гарантії, при поставці обладнання Учасник надає гарантійні талони з вказанням назви обладнання та їх серійні номери.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Учасник надає порівняльну таблицю відповідності запропонованого товару технічним вимогам Замовника;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надання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(або інших документів) від виробника (-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іноземною мовою, цей лист повинен супроводжуватись перекладом на українську мову;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Авторизаційний</w:t>
      </w:r>
      <w:r>
        <w:rPr>
          <w:rFonts w:ascii="Times New Roman" w:hAnsi="Times New Roman" w:cs="Times New Roman"/>
          <w:sz w:val="24"/>
          <w:szCs w:val="24"/>
        </w:rPr>
        <w:t xml:space="preserve"> лист повинен бути адресований Замовнику із обов’язковим зазначенням найменування та номеру закупівлі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 має право звернут</w:t>
      </w:r>
      <w:r>
        <w:rPr>
          <w:rFonts w:ascii="Times New Roman" w:hAnsi="Times New Roman" w:cs="Times New Roman"/>
          <w:sz w:val="24"/>
          <w:szCs w:val="24"/>
        </w:rPr>
        <w:t xml:space="preserve">ися за підтвердженням інформації, наданої учасником, до органів державної влади, підприємств, установ, організацій відповідно до їх компетенції. У разі отримання достовірної інформації про його невідповідність вимогам кваліфікаційних критеріїв, наявність п</w:t>
      </w:r>
      <w:r>
        <w:rPr>
          <w:rFonts w:ascii="Times New Roman" w:hAnsi="Times New Roman" w:cs="Times New Roman"/>
          <w:sz w:val="24"/>
          <w:szCs w:val="24"/>
        </w:rPr>
        <w:t xml:space="preserve">ідстав, зазначених у частині першій статті 17 цього Закону, або факту зазначення у тендерній пропозиції будь-якої недостовірної інформації, що є суттєвою при визначенні результатів процедури закупівлі, замовник відхиляє тендерну пропозицію такого учасника.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3 052 586,00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мільйони п’ятдесят дві тисячі п’ятсот вісімдесят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7"/>
  </w:num>
  <w:num w:numId="5">
    <w:abstractNumId w:val="5"/>
  </w:num>
  <w:num w:numId="6">
    <w:abstractNumId w:val="20"/>
  </w:num>
  <w:num w:numId="7">
    <w:abstractNumId w:val="10"/>
  </w:num>
  <w:num w:numId="8">
    <w:abstractNumId w:val="22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"/>
  </w:num>
  <w:num w:numId="18">
    <w:abstractNumId w:val="23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13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6"/>
    <w:link w:val="69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6"/>
    <w:link w:val="42"/>
    <w:uiPriority w:val="99"/>
  </w:style>
  <w:style w:type="character" w:styleId="45">
    <w:name w:val="Footer Char"/>
    <w:basedOn w:val="696"/>
    <w:link w:val="705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lang w:val="uk-UA"/>
    </w:rPr>
  </w:style>
  <w:style w:type="paragraph" w:styleId="695">
    <w:name w:val="Heading 2"/>
    <w:basedOn w:val="694"/>
    <w:link w:val="71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4"/>
    <w:link w:val="70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0" w:customStyle="1">
    <w:name w:val="Абзац списку Знак"/>
    <w:link w:val="699"/>
    <w:uiPriority w:val="34"/>
    <w:rPr>
      <w:rFonts w:ascii="Calibri" w:hAnsi="Calibri" w:eastAsia="Calibri" w:cs="Calibri"/>
      <w:lang w:eastAsia="zh-CN"/>
    </w:rPr>
  </w:style>
  <w:style w:type="table" w:styleId="701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Сетка таблицы2"/>
    <w:basedOn w:val="697"/>
    <w:next w:val="70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Normal (Web)"/>
    <w:basedOn w:val="694"/>
    <w:link w:val="710"/>
    <w:unhideWhenUsed/>
    <w:qFormat/>
    <w:rPr>
      <w:rFonts w:ascii="Times New Roman" w:hAnsi="Times New Roman" w:cs="Times New Roman"/>
      <w:sz w:val="24"/>
      <w:szCs w:val="24"/>
    </w:rPr>
  </w:style>
  <w:style w:type="table" w:styleId="704" w:customStyle="1">
    <w:name w:val="Сетка таблицы1"/>
    <w:basedOn w:val="697"/>
    <w:next w:val="70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Footer"/>
    <w:basedOn w:val="694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6" w:customStyle="1">
    <w:name w:val="Нижній колонтитул Знак"/>
    <w:basedOn w:val="696"/>
    <w:link w:val="705"/>
    <w:uiPriority w:val="99"/>
    <w:rPr>
      <w:rFonts w:ascii="Calibri" w:hAnsi="Calibri" w:eastAsia="Calibri" w:cs="Calibri"/>
      <w:lang w:eastAsia="zh-CN"/>
    </w:rPr>
  </w:style>
  <w:style w:type="paragraph" w:styleId="70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8">
    <w:name w:val="Hyperlink"/>
    <w:basedOn w:val="696"/>
    <w:uiPriority w:val="99"/>
    <w:unhideWhenUsed/>
    <w:rPr>
      <w:color w:val="0563c1" w:themeColor="hyperlink"/>
      <w:u w:val="single"/>
    </w:rPr>
  </w:style>
  <w:style w:type="character" w:styleId="709" w:customStyle="1">
    <w:name w:val="xfm_93972720"/>
    <w:basedOn w:val="696"/>
  </w:style>
  <w:style w:type="character" w:styleId="710" w:customStyle="1">
    <w:name w:val="Звичайний (веб) Знак"/>
    <w:link w:val="703"/>
    <w:qFormat/>
    <w:rPr>
      <w:rFonts w:ascii="Times New Roman" w:hAnsi="Times New Roman" w:cs="Times New Roman"/>
      <w:sz w:val="24"/>
      <w:szCs w:val="24"/>
      <w:lang w:val="uk-UA"/>
    </w:rPr>
  </w:style>
  <w:style w:type="paragraph" w:styleId="711">
    <w:name w:val="Body Text 2"/>
    <w:basedOn w:val="694"/>
    <w:link w:val="71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2" w:customStyle="1">
    <w:name w:val="Основний текст 2 Знак"/>
    <w:basedOn w:val="696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4" w:customStyle="1">
    <w:name w:val="Заголовок 2 Знак"/>
    <w:basedOn w:val="696"/>
    <w:link w:val="69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5">
    <w:name w:val="No Spacing"/>
    <w:link w:val="71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6" w:customStyle="1">
    <w:name w:val="Без інтервалів Знак"/>
    <w:basedOn w:val="696"/>
    <w:link w:val="715"/>
    <w:uiPriority w:val="1"/>
    <w:rPr>
      <w:rFonts w:ascii="Calibri" w:hAnsi="Calibri" w:eastAsia="Calibri" w:cs="Times New Roman"/>
      <w:lang w:val="uk-UA"/>
    </w:rPr>
  </w:style>
  <w:style w:type="character" w:styleId="717" w:customStyle="1">
    <w:name w:val="Другое_"/>
    <w:basedOn w:val="696"/>
    <w:link w:val="718"/>
    <w:rPr>
      <w:rFonts w:ascii="Calibri" w:hAnsi="Calibri" w:eastAsia="Calibri" w:cs="Calibri"/>
      <w:sz w:val="20"/>
      <w:szCs w:val="20"/>
    </w:rPr>
  </w:style>
  <w:style w:type="paragraph" w:styleId="718" w:customStyle="1">
    <w:name w:val="Другое"/>
    <w:basedOn w:val="694"/>
    <w:link w:val="717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109</cp:revision>
  <dcterms:created xsi:type="dcterms:W3CDTF">2022-11-01T12:47:00Z</dcterms:created>
  <dcterms:modified xsi:type="dcterms:W3CDTF">2023-06-13T06:55:57Z</dcterms:modified>
</cp:coreProperties>
</file>