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9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автоматизованих робочих місць за кодом CPV за ЄЗС ДК 021:2015: 30210000-4 Машини для обробки даних (апаратна частина)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002568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Закупівля автоматизованих робочих місць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/>
      <w:bookmarkStart w:id="0" w:name="_Hlk133583335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95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eastAsia="Times New Roman"/>
                <w:b/>
                <w:bCs/>
                <w:lang w:val="ru-RU"/>
              </w:rPr>
            </w:pPr>
            <w:r>
              <w:rPr>
                <w:rFonts w:eastAsia="Times New Roman"/>
                <w:b/>
                <w:bCs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Назва 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Кількість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97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Одиниця виміру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697"/>
              <w:jc w:val="both"/>
              <w:rPr>
                <w:rFonts w:eastAsia="Times New Roman"/>
                <w:b/>
              </w:rPr>
            </w:pPr>
            <w:r>
              <w:rPr>
                <w:rStyle w:val="721"/>
                <w:rFonts w:eastAsia="Times New Roman"/>
                <w:b/>
                <w:bCs/>
                <w:shd w:val="clear" w:color="auto" w:fill="ffffff"/>
              </w:rPr>
              <w:t xml:space="preserve">Автоматизоване робоче місце №3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35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шт.</w:t>
            </w:r>
            <w:r/>
          </w:p>
        </w:tc>
      </w:tr>
    </w:tbl>
    <w:p>
      <w:pPr>
        <w:pStyle w:val="697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</w:r>
      <w:r/>
    </w:p>
    <w:p>
      <w:pPr>
        <w:pStyle w:val="697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rFonts w:eastAsia="Times New Roman"/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rFonts w:eastAsia="Times New Roman"/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rFonts w:eastAsia="Times New Roman"/>
          <w:b/>
          <w:bCs/>
          <w:i/>
          <w:iCs/>
          <w:lang w:eastAsia="ru-RU"/>
        </w:rPr>
        <w:t xml:space="preserve">проєкту</w:t>
      </w:r>
      <w:r>
        <w:rPr>
          <w:rFonts w:eastAsia="Times New Roman"/>
          <w:b/>
          <w:bCs/>
          <w:i/>
          <w:iCs/>
          <w:lang w:eastAsia="ru-RU"/>
        </w:rPr>
        <w:t xml:space="preserve"> Договору до моменту його повного завершення</w:t>
      </w:r>
      <w:r>
        <w:rPr>
          <w:rFonts w:eastAsia="Times New Roman"/>
          <w:b/>
          <w:bCs/>
          <w:i/>
          <w:iCs/>
          <w:lang w:eastAsia="uk-UA"/>
        </w:rPr>
        <w:t xml:space="preserve">.</w:t>
      </w:r>
      <w:r/>
    </w:p>
    <w:p>
      <w:pPr>
        <w:pStyle w:val="697"/>
        <w:ind w:firstLine="567"/>
        <w:jc w:val="both"/>
        <w:spacing w:after="0" w:line="240" w:lineRule="auto"/>
        <w:rPr>
          <w:rFonts w:eastAsia="Times New Roman"/>
          <w:color w:val="000000" w:themeColor="text1"/>
          <w:shd w:val="clear" w:color="auto" w:fill="ffffff"/>
        </w:rPr>
      </w:pPr>
      <w:r/>
      <w:bookmarkStart w:id="1" w:name="_Hlk131598067"/>
      <w:r>
        <w:rPr>
          <w:rFonts w:eastAsia="Times New Roman"/>
          <w:color w:val="000000" w:themeColor="text1"/>
          <w:shd w:val="clear" w:color="auto" w:fill="ffffff"/>
          <w:lang w:eastAsia="uk-UA"/>
        </w:rPr>
        <w:t xml:space="preserve">1. Товар повинен постачатись новим в упаковці та з маркуванням виробника, а також повинна бути в наявності технічна документація, яка входить до комплекту постачання фірми-виробника.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У разі постачання неякісного Товару, Постачальник забезпечує заміну неякісного Товару якісним за власний рахунок при пред’явлені Покупцем не пізніше 7 робочих днів після отримання Товару.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Наявність заявлених Покупцем недоліків та причини їх виникнення повинно встановлюватись актом обстеження технічного стану Товару, який обов’язково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укладається між Сторонами і є підставою для усунення Постачальником недоліків Товару у термін, що узгоджується за домовленістю Сторін. Акт обстеження технічного стану складається сервісним (технічним) центром Постачальника за участю представника Покупця.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Виконання постачання повинно здійснюватися у відповідно до діючих нормативно-правових документів та умов цього </w:t>
      </w:r>
      <w:r>
        <w:rPr>
          <w:rFonts w:ascii="Times New Roman" w:hAnsi="Times New Roman" w:cs="Times New Roman"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sz w:val="24"/>
          <w:szCs w:val="24"/>
        </w:rPr>
        <w:t xml:space="preserve"> Договору.</w:t>
      </w:r>
      <w:bookmarkStart w:id="2" w:name="_Hlk131682113"/>
      <w:r/>
      <w:bookmarkEnd w:id="1"/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93"/>
        <w:ind w:left="0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Гарантійні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зобов’язання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всіх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найменувань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повинні</w:t>
      </w:r>
      <w:r>
        <w:rPr>
          <w:rFonts w:ascii="Times New Roman" w:hAnsi="Times New Roman" w:cs="Times New Roman"/>
          <w:sz w:val="24"/>
          <w:szCs w:val="24"/>
        </w:rPr>
        <w:t xml:space="preserve"> бути не </w:t>
      </w:r>
      <w:r>
        <w:rPr>
          <w:rFonts w:ascii="Times New Roman" w:hAnsi="Times New Roman" w:cs="Times New Roman"/>
          <w:sz w:val="24"/>
          <w:szCs w:val="24"/>
        </w:rPr>
        <w:t xml:space="preserve">менше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строків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визначених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технічними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умовами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товарів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складати не менше 12 ти місяців з дати підписання видаткової накладної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Постачальник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повинен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забезпечити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обслуговування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підтримку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протягом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гарантійного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терміну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(надати гарантійний лист).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7. Товар повинен бути офіційно ввезений на територію України та мати відповідні документи (надати гарантійний лист).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16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eastAsia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</w:r>
      <w:r/>
    </w:p>
    <w:p>
      <w:pPr>
        <w:pStyle w:val="697"/>
        <w:ind w:firstLine="567"/>
        <w:jc w:val="center"/>
        <w:spacing w:after="0" w:line="240" w:lineRule="auto"/>
        <w:rPr>
          <w:rStyle w:val="719"/>
          <w:b/>
          <w:lang w:eastAsia="ru-RU"/>
        </w:rPr>
      </w:pPr>
      <w:r>
        <w:rPr>
          <w:rStyle w:val="719"/>
          <w:b/>
          <w:bCs/>
          <w:lang w:eastAsia="ru-RU"/>
        </w:rPr>
        <w:t xml:space="preserve">СПЕЦИФІКАЦІЯ</w:t>
      </w:r>
      <w:r/>
    </w:p>
    <w:tbl>
      <w:tblPr>
        <w:tblpPr w:horzAnchor="margin" w:tblpXSpec="center" w:vertAnchor="text" w:tblpY="448" w:leftFromText="180" w:topFromText="0" w:rightFromText="180" w:bottomFromText="160"/>
        <w:tblW w:w="100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5"/>
        <w:gridCol w:w="1960"/>
        <w:gridCol w:w="1688"/>
        <w:gridCol w:w="5126"/>
        <w:gridCol w:w="850"/>
      </w:tblGrid>
      <w:tr>
        <w:trPr>
          <w:trHeight w:val="33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</w:t>
            </w:r>
            <w:r/>
          </w:p>
        </w:tc>
      </w:tr>
      <w:tr>
        <w:trPr>
          <w:trHeight w:val="202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Автоматизоване робоче місце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складі: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Процесор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Кількість фізичних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ядер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не менше ніж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потоків: не менше ніж 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Обсяг кеш-пам’яті: не менше 18 MB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Базова тактова частота процесора: не менше 2,50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GHz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Максимальна тактова частота у режимі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Turbo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Boost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не менше 4,40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GHz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 комплекті з системою охолодження, достатньої потужності для ефективного відведення тепла від процесора та забезпечення його роботи на максимальних частотах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</w:t>
            </w:r>
            <w:r/>
          </w:p>
        </w:tc>
      </w:tr>
      <w:tr>
        <w:trPr>
          <w:trHeight w:val="15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Чипсет материнської плати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гірше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B660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Оперативна пам’ять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гірше 32Gb DDR4 3200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MHz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двома модулями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21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Накопичувач SSD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Об'єм SSD - не менше ніж 512GB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NVMe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M.2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9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Графічний адаптер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Інтегрований - не гірше ніж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UHD 730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31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Материнська плата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Порти вводу\виводу (не менше):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 порт DP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 порти HDMI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 порт RJ-45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 порти USB 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4 портів USB 2.0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3 Аудіо порти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Out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на задній панелі та 2 Аудіо порти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Line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Out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на передній панелі системного блоку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Внутрішні порти: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Sata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/s – 4шт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розширення: 1 x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PCIe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4.0 x16, 1 x PCI-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3.0 x4, 1 x PCI-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3.0 x1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26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Бездротові з'єднання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Bluetooth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5.2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Dual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band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Wi-Fi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(802.11ax)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18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та блок живлення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Блок живлення: потужністю не менше 500W 80+, вентилятор блоку живлення не менше 120 мм, наявність тримача кабелю живлення, що запобігає його випаданню з роз'єму;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Форм-фактор корпусу: ATX;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Розташування блоку живлення у нижній частині корпусу;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не менше ніж 4-x внутрішніх відсіків 3,5”;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Безгвинтове кріплення накопичувачів 3,5”;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на передній панелі корпусу не менш ніж 4-x роз’ємів USB (один з яких формату USB3.1, та один USB 3.1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Type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-C), роз’ємів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Line-out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Mic-in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на передній панелі корпусу не менше ніж 1-го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3,5”;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замку з комплектом ключів, який у закритому положенні блокує кнопку включення системного блоку;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не менше ніж 1-го попередньо встановленого вентилятора типорозміру 120 мм на передній панелі корпусу, та не менше ніж 1-го попередньо встановленого вентилятора типорозміру 120 мм на задній панелі корпусу.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Матеріал корпусу: сталь. Товщина стінок не менше ніж 0,6 мм;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системи безпеки у вигляді датчика відкриття корпусу.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96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Програмне забезпечення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Операційна система: Microsoft® Windows®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або Windows® 11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предінстальована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технологію ОЕМ активації ОА 3.0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Активація проводиться замовником, ключ активації повинен бути вшитим у BIOS материнської плати системного блоку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ДБЖ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Тип: лінійно-інтерактивний;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Вхідна напруга: не менше ніж 210 - 240V AC 50Hz;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Вихідна напруга: не менше ніж 210 - 240V AC 50Hz;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вихідних розеток: не менше ніж 4, тип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Schuko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Вихідна потужність: не менше ніж 1250 ВА/720 Вт;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Акумуляторна батарея: вбудована свинцево-кислотна;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Корпус: металевий або пластиковий;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Додатково: LCD екран, USB порт для керування та моніторингу роботи (кабель у комплекті);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функцій захисту: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захист мережі RJ-45;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захист від перегріву;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захист від низької напруги та перенапруги;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захист від короткого замикання.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18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Клавіатура та миша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6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Тип: комплект (клавіатура + миша) від виробника персонального комп'ютера;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клавіш клавіатури: не менше ніж 104, з окремим блоком для набору цифр;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Технологія миші – оптична;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кнопок миші - щонайменше 3: ліва, права, колесо-кнопка для скролінг;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Тип підключення: дротовий;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Інтерфейс комунікації з ПК: USB.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33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Гарантія, міс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персональний комп’ютер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та комплект клавіатура/мишка не менше ніж 36; на ДБЖ не менше ніж 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</w:tbl>
    <w:p>
      <w:pPr>
        <w:pStyle w:val="697"/>
        <w:ind w:firstLine="567"/>
        <w:jc w:val="center"/>
        <w:spacing w:after="0" w:line="240" w:lineRule="auto"/>
        <w:rPr>
          <w:rStyle w:val="719"/>
          <w:b/>
          <w:bCs/>
          <w:lang w:eastAsia="ru-RU"/>
        </w:rPr>
      </w:pPr>
      <w:r>
        <w:rPr>
          <w:b/>
          <w:bCs/>
          <w:lang w:eastAsia="ru-RU"/>
        </w:rPr>
      </w:r>
      <w:bookmarkEnd w:id="0"/>
      <w:r/>
    </w:p>
    <w:p>
      <w:pPr>
        <w:pStyle w:val="720"/>
        <w:numPr>
          <w:ilvl w:val="0"/>
          <w:numId w:val="21"/>
        </w:numPr>
        <w:ind w:left="0" w:firstLine="709"/>
        <w:spacing w:line="240" w:lineRule="auto"/>
        <w:tabs>
          <w:tab w:val="left" w:pos="993" w:leader="none"/>
        </w:tabs>
      </w:pPr>
      <w:r>
        <w:t xml:space="preserve">Товар повинен бути новим та не відновленим, таким що не використовувався раніше. </w:t>
      </w:r>
      <w:r>
        <w:rPr>
          <w:b/>
          <w:i/>
        </w:rPr>
        <w:t xml:space="preserve">(Надати учасником гарантійний лист)</w:t>
      </w:r>
      <w:r>
        <w:rPr>
          <w:color w:val="000000"/>
        </w:rPr>
        <w:t xml:space="preserve">.</w:t>
      </w:r>
      <w:r/>
    </w:p>
    <w:p>
      <w:pPr>
        <w:pStyle w:val="693"/>
        <w:numPr>
          <w:ilvl w:val="0"/>
          <w:numId w:val="22"/>
        </w:numPr>
        <w:ind w:left="0"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разі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якщо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</w:rPr>
        <w:t xml:space="preserve"> не є </w:t>
      </w:r>
      <w:r>
        <w:rPr>
          <w:rFonts w:ascii="Times New Roman" w:hAnsi="Times New Roman" w:cs="Times New Roman"/>
          <w:sz w:val="24"/>
          <w:szCs w:val="24"/>
        </w:rPr>
        <w:t xml:space="preserve">виробником</w:t>
      </w:r>
      <w:r>
        <w:rPr>
          <w:rFonts w:ascii="Times New Roman" w:hAnsi="Times New Roman" w:cs="Times New Roman"/>
          <w:sz w:val="24"/>
          <w:szCs w:val="24"/>
        </w:rPr>
        <w:t xml:space="preserve"> товару (</w:t>
      </w:r>
      <w:r>
        <w:rPr>
          <w:rFonts w:ascii="Times New Roman" w:hAnsi="Times New Roman" w:cs="Times New Roman"/>
          <w:sz w:val="24"/>
          <w:szCs w:val="24"/>
        </w:rPr>
        <w:t xml:space="preserve">персональний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комп’ютер</w:t>
      </w:r>
      <w:r>
        <w:rPr>
          <w:rFonts w:ascii="Times New Roman" w:hAnsi="Times New Roman" w:cs="Times New Roman"/>
          <w:sz w:val="24"/>
          <w:szCs w:val="24"/>
        </w:rPr>
        <w:t xml:space="preserve">), то </w:t>
      </w:r>
      <w:r>
        <w:rPr>
          <w:rFonts w:ascii="Times New Roman" w:hAnsi="Times New Roman" w:cs="Times New Roman"/>
          <w:sz w:val="24"/>
          <w:szCs w:val="24"/>
        </w:rPr>
        <w:t xml:space="preserve">він</w:t>
      </w:r>
      <w:r>
        <w:rPr>
          <w:rFonts w:ascii="Times New Roman" w:hAnsi="Times New Roman" w:cs="Times New Roman"/>
          <w:sz w:val="24"/>
          <w:szCs w:val="24"/>
        </w:rPr>
        <w:t xml:space="preserve"> повинен </w:t>
      </w:r>
      <w:r>
        <w:rPr>
          <w:rFonts w:ascii="Times New Roman" w:hAnsi="Times New Roman" w:cs="Times New Roman"/>
          <w:sz w:val="24"/>
          <w:szCs w:val="24"/>
        </w:rPr>
        <w:t xml:space="preserve">надати</w:t>
      </w:r>
      <w:r>
        <w:rPr>
          <w:rFonts w:ascii="Times New Roman" w:hAnsi="Times New Roman" w:cs="Times New Roman"/>
          <w:sz w:val="24"/>
          <w:szCs w:val="24"/>
        </w:rPr>
        <w:t xml:space="preserve"> лист </w:t>
      </w:r>
      <w:r>
        <w:rPr>
          <w:rFonts w:ascii="Times New Roman" w:hAnsi="Times New Roman" w:cs="Times New Roman"/>
          <w:sz w:val="24"/>
          <w:szCs w:val="24"/>
        </w:rPr>
        <w:t xml:space="preserve">від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продукції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його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офіційного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представника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території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України</w:t>
      </w:r>
      <w:r>
        <w:rPr>
          <w:rFonts w:ascii="Times New Roman" w:hAnsi="Times New Roman" w:cs="Times New Roman"/>
          <w:bCs/>
          <w:sz w:val="24"/>
          <w:szCs w:val="24"/>
        </w:rPr>
        <w:t xml:space="preserve">, а в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його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відсутності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від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офіційного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дистриб’ютора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який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підтверджує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представницькі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 xml:space="preserve">партнерські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повноваження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учасника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Такий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документ </w:t>
      </w:r>
      <w:r>
        <w:rPr>
          <w:rFonts w:ascii="Times New Roman" w:hAnsi="Times New Roman" w:cs="Times New Roman"/>
          <w:bCs/>
          <w:sz w:val="24"/>
          <w:szCs w:val="24"/>
        </w:rPr>
        <w:t xml:space="preserve">має</w:t>
      </w:r>
      <w:r>
        <w:rPr>
          <w:rFonts w:ascii="Times New Roman" w:hAnsi="Times New Roman" w:cs="Times New Roman"/>
          <w:bCs/>
          <w:sz w:val="24"/>
          <w:szCs w:val="24"/>
        </w:rPr>
        <w:t xml:space="preserve"> бути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адресований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Учаснику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або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Замовнику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підписаний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уповноваженою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особою </w:t>
      </w:r>
      <w:r>
        <w:rPr>
          <w:rFonts w:ascii="Times New Roman" w:hAnsi="Times New Roman" w:cs="Times New Roman"/>
          <w:bCs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 xml:space="preserve">імпортера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офіційного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представника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</w:t>
      </w:r>
      <w:r>
        <w:rPr>
          <w:rFonts w:ascii="Times New Roman" w:hAnsi="Times New Roman" w:cs="Times New Roman"/>
          <w:bCs/>
          <w:sz w:val="24"/>
          <w:szCs w:val="24"/>
        </w:rPr>
        <w:t xml:space="preserve">Україні</w:t>
      </w:r>
      <w:r>
        <w:rPr>
          <w:rFonts w:ascii="Times New Roman" w:hAnsi="Times New Roman" w:cs="Times New Roman"/>
          <w:bCs/>
          <w:sz w:val="24"/>
          <w:szCs w:val="24"/>
        </w:rPr>
        <w:t xml:space="preserve">), </w:t>
      </w:r>
      <w:r>
        <w:rPr>
          <w:rFonts w:ascii="Times New Roman" w:hAnsi="Times New Roman" w:cs="Times New Roman"/>
          <w:bCs/>
          <w:sz w:val="24"/>
          <w:szCs w:val="24"/>
        </w:rPr>
        <w:t xml:space="preserve">містити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посилання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процедуру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закупівлі</w:t>
      </w:r>
      <w:r>
        <w:rPr>
          <w:rFonts w:ascii="Times New Roman" w:hAnsi="Times New Roman" w:cs="Times New Roman"/>
          <w:bCs/>
          <w:sz w:val="24"/>
          <w:szCs w:val="24"/>
        </w:rPr>
        <w:t xml:space="preserve"> (на номер і дату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оприлюднення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оголошення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веб-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порталі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Уповноваженого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органу) 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найменування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запропонованого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товару. У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надання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авторизаційного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листа (</w:t>
      </w:r>
      <w:r>
        <w:rPr>
          <w:rFonts w:ascii="Times New Roman" w:hAnsi="Times New Roman" w:cs="Times New Roman"/>
          <w:bCs/>
          <w:sz w:val="24"/>
          <w:szCs w:val="24"/>
        </w:rPr>
        <w:t xml:space="preserve">або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інших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документів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 xml:space="preserve">від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(-</w:t>
      </w:r>
      <w:r>
        <w:rPr>
          <w:rFonts w:ascii="Times New Roman" w:hAnsi="Times New Roman" w:cs="Times New Roman"/>
          <w:bCs/>
          <w:sz w:val="24"/>
          <w:szCs w:val="24"/>
        </w:rPr>
        <w:t xml:space="preserve">ів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 xml:space="preserve">іноземною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мовою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цей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лист повинен </w:t>
      </w:r>
      <w:r>
        <w:rPr>
          <w:rFonts w:ascii="Times New Roman" w:hAnsi="Times New Roman" w:cs="Times New Roman"/>
          <w:bCs/>
          <w:sz w:val="24"/>
          <w:szCs w:val="24"/>
        </w:rPr>
        <w:t xml:space="preserve">супроводжуватись</w:t>
      </w:r>
      <w:r>
        <w:rPr>
          <w:rFonts w:ascii="Times New Roman" w:hAnsi="Times New Roman" w:cs="Times New Roman"/>
          <w:bCs/>
          <w:sz w:val="24"/>
          <w:szCs w:val="24"/>
        </w:rPr>
        <w:t xml:space="preserve"> перекладом 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українську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мову</w:t>
      </w:r>
      <w:r>
        <w:rPr>
          <w:rFonts w:ascii="Times New Roman" w:hAnsi="Times New Roman" w:cs="Times New Roman"/>
          <w:bCs/>
          <w:sz w:val="24"/>
          <w:szCs w:val="24"/>
        </w:rPr>
        <w:t xml:space="preserve">.</w:t>
      </w:r>
      <w:r/>
    </w:p>
    <w:p>
      <w:pPr>
        <w:pStyle w:val="693"/>
        <w:numPr>
          <w:ilvl w:val="0"/>
          <w:numId w:val="22"/>
        </w:numPr>
        <w:ind w:left="0" w:firstLine="709"/>
        <w:jc w:val="both"/>
        <w:spacing w:after="0" w:line="240" w:lineRule="auto"/>
        <w:widowControl w:val="off"/>
        <w:tabs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 xml:space="preserve">складі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своєї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пропозиції</w:t>
      </w:r>
      <w:r>
        <w:rPr>
          <w:rFonts w:ascii="Times New Roman" w:hAnsi="Times New Roman" w:cs="Times New Roman"/>
          <w:sz w:val="24"/>
          <w:szCs w:val="24"/>
        </w:rPr>
        <w:t xml:space="preserve"> повинен </w:t>
      </w:r>
      <w:r>
        <w:rPr>
          <w:rFonts w:ascii="Times New Roman" w:hAnsi="Times New Roman" w:cs="Times New Roman"/>
          <w:sz w:val="24"/>
          <w:szCs w:val="24"/>
        </w:rPr>
        <w:t xml:space="preserve">надати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довідку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 xml:space="preserve">формі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таблиці-порівняння</w:t>
      </w:r>
      <w:r>
        <w:rPr>
          <w:rFonts w:ascii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hAnsi="Times New Roman" w:cs="Times New Roman"/>
          <w:sz w:val="24"/>
          <w:szCs w:val="24"/>
        </w:rPr>
        <w:t xml:space="preserve">інформацією</w:t>
      </w:r>
      <w:r>
        <w:rPr>
          <w:rFonts w:ascii="Times New Roman" w:hAnsi="Times New Roman" w:cs="Times New Roman"/>
          <w:sz w:val="24"/>
          <w:szCs w:val="24"/>
        </w:rPr>
        <w:t xml:space="preserve"> про </w:t>
      </w:r>
      <w:r>
        <w:rPr>
          <w:rFonts w:ascii="Times New Roman" w:hAnsi="Times New Roman" w:cs="Times New Roman"/>
          <w:sz w:val="24"/>
          <w:szCs w:val="24"/>
        </w:rPr>
        <w:t xml:space="preserve">технічні</w:t>
      </w:r>
      <w:r>
        <w:rPr>
          <w:rFonts w:ascii="Times New Roman" w:hAnsi="Times New Roman" w:cs="Times New Roman"/>
          <w:sz w:val="24"/>
          <w:szCs w:val="24"/>
        </w:rPr>
        <w:t xml:space="preserve"> характеристики </w:t>
      </w:r>
      <w:r>
        <w:rPr>
          <w:rFonts w:ascii="Times New Roman" w:hAnsi="Times New Roman" w:cs="Times New Roman"/>
          <w:sz w:val="24"/>
          <w:szCs w:val="24"/>
        </w:rPr>
        <w:t xml:space="preserve">запропонованого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учасником</w:t>
      </w:r>
      <w:r>
        <w:rPr>
          <w:rFonts w:ascii="Times New Roman" w:hAnsi="Times New Roman" w:cs="Times New Roman"/>
          <w:sz w:val="24"/>
          <w:szCs w:val="24"/>
        </w:rPr>
        <w:t xml:space="preserve"> товару </w:t>
      </w:r>
      <w:r>
        <w:rPr>
          <w:rFonts w:ascii="Times New Roman" w:hAnsi="Times New Roman" w:cs="Times New Roman"/>
          <w:sz w:val="24"/>
          <w:szCs w:val="24"/>
        </w:rPr>
        <w:t xml:space="preserve">із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зазначенням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моделі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країни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походження</w:t>
      </w:r>
      <w:r>
        <w:rPr>
          <w:rFonts w:ascii="Times New Roman" w:hAnsi="Times New Roman" w:cs="Times New Roman"/>
          <w:sz w:val="24"/>
          <w:szCs w:val="24"/>
        </w:rPr>
        <w:t xml:space="preserve">, року </w:t>
      </w:r>
      <w:r>
        <w:rPr>
          <w:rFonts w:ascii="Times New Roman" w:hAnsi="Times New Roman" w:cs="Times New Roman"/>
          <w:sz w:val="24"/>
          <w:szCs w:val="24"/>
        </w:rPr>
        <w:t xml:space="preserve">виготовлення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технічних</w:t>
      </w:r>
      <w:r>
        <w:rPr>
          <w:rFonts w:ascii="Times New Roman" w:hAnsi="Times New Roman" w:cs="Times New Roman"/>
          <w:sz w:val="24"/>
          <w:szCs w:val="24"/>
        </w:rPr>
        <w:t xml:space="preserve"> характеристик та </w:t>
      </w:r>
      <w:r>
        <w:rPr>
          <w:rFonts w:ascii="Times New Roman" w:hAnsi="Times New Roman" w:cs="Times New Roman"/>
          <w:sz w:val="24"/>
          <w:szCs w:val="24"/>
        </w:rPr>
        <w:t xml:space="preserve">ознак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його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відповідності</w:t>
      </w:r>
      <w:r>
        <w:rPr>
          <w:rFonts w:ascii="Times New Roman" w:hAnsi="Times New Roman" w:cs="Times New Roman"/>
          <w:sz w:val="24"/>
          <w:szCs w:val="24"/>
        </w:rPr>
        <w:t xml:space="preserve"> (не </w:t>
      </w:r>
      <w:r>
        <w:rPr>
          <w:rFonts w:ascii="Times New Roman" w:hAnsi="Times New Roman" w:cs="Times New Roman"/>
          <w:sz w:val="24"/>
          <w:szCs w:val="24"/>
        </w:rPr>
        <w:t xml:space="preserve">відповідності</w:t>
      </w:r>
      <w:r>
        <w:rPr>
          <w:rFonts w:ascii="Times New Roman" w:hAnsi="Times New Roman" w:cs="Times New Roman"/>
          <w:sz w:val="24"/>
          <w:szCs w:val="24"/>
        </w:rPr>
        <w:t xml:space="preserve">) предмету </w:t>
      </w:r>
      <w:r>
        <w:rPr>
          <w:rFonts w:ascii="Times New Roman" w:hAnsi="Times New Roman" w:cs="Times New Roman"/>
          <w:sz w:val="24"/>
          <w:szCs w:val="24"/>
        </w:rPr>
        <w:t xml:space="preserve">закупівлі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складену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основі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таблиць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технічної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специфікації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693"/>
        <w:numPr>
          <w:ilvl w:val="0"/>
          <w:numId w:val="22"/>
        </w:numPr>
        <w:ind w:left="0" w:firstLine="709"/>
        <w:jc w:val="both"/>
        <w:spacing w:after="0" w:line="240" w:lineRule="auto"/>
        <w:widowControl w:val="off"/>
        <w:tabs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підтвердження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відповідності</w:t>
      </w:r>
      <w:r>
        <w:rPr>
          <w:rFonts w:ascii="Times New Roman" w:hAnsi="Times New Roman" w:cs="Times New Roman"/>
          <w:sz w:val="24"/>
          <w:szCs w:val="24"/>
        </w:rPr>
        <w:t xml:space="preserve"> товару (</w:t>
      </w:r>
      <w:r>
        <w:rPr>
          <w:rFonts w:ascii="Times New Roman" w:hAnsi="Times New Roman" w:cs="Times New Roman"/>
          <w:sz w:val="24"/>
          <w:szCs w:val="24"/>
        </w:rPr>
        <w:t xml:space="preserve">персональний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комп’ютер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</w:rPr>
        <w:t xml:space="preserve"> повинен </w:t>
      </w:r>
      <w:r>
        <w:rPr>
          <w:rFonts w:ascii="Times New Roman" w:hAnsi="Times New Roman" w:cs="Times New Roman"/>
          <w:sz w:val="24"/>
          <w:szCs w:val="24"/>
        </w:rPr>
        <w:t xml:space="preserve">надати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копію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Декларації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відповідності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вимогам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наступних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нормативних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документів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693"/>
        <w:numPr>
          <w:ilvl w:val="0"/>
          <w:numId w:val="23"/>
        </w:numPr>
        <w:ind w:left="0" w:firstLine="567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Технічний</w:t>
      </w:r>
      <w:r>
        <w:rPr>
          <w:rFonts w:ascii="Times New Roman" w:hAnsi="Times New Roman" w:cs="Times New Roman"/>
          <w:sz w:val="24"/>
          <w:szCs w:val="24"/>
        </w:rPr>
        <w:t xml:space="preserve"> регламент з </w:t>
      </w:r>
      <w:r>
        <w:rPr>
          <w:rFonts w:ascii="Times New Roman" w:hAnsi="Times New Roman" w:cs="Times New Roman"/>
          <w:sz w:val="24"/>
          <w:szCs w:val="24"/>
        </w:rPr>
        <w:t xml:space="preserve">електромагнітної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сумісності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обладнання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затверджений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Кабінету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Міністрів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від</w:t>
      </w:r>
      <w:r>
        <w:rPr>
          <w:rFonts w:ascii="Times New Roman" w:hAnsi="Times New Roman" w:cs="Times New Roman"/>
          <w:sz w:val="24"/>
          <w:szCs w:val="24"/>
        </w:rPr>
        <w:t xml:space="preserve"> 16 </w:t>
      </w:r>
      <w:r>
        <w:rPr>
          <w:rFonts w:ascii="Times New Roman" w:hAnsi="Times New Roman" w:cs="Times New Roman"/>
          <w:sz w:val="24"/>
          <w:szCs w:val="24"/>
        </w:rPr>
        <w:t xml:space="preserve">грудня</w:t>
      </w:r>
      <w:r>
        <w:rPr>
          <w:rFonts w:ascii="Times New Roman" w:hAnsi="Times New Roman" w:cs="Times New Roman"/>
          <w:sz w:val="24"/>
          <w:szCs w:val="24"/>
        </w:rPr>
        <w:t xml:space="preserve"> 2015 р. N 1077;</w:t>
      </w:r>
      <w:r/>
    </w:p>
    <w:p>
      <w:pPr>
        <w:pStyle w:val="693"/>
        <w:numPr>
          <w:ilvl w:val="0"/>
          <w:numId w:val="23"/>
        </w:numPr>
        <w:ind w:left="0" w:firstLine="567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Технічний</w:t>
      </w:r>
      <w:r>
        <w:rPr>
          <w:rFonts w:ascii="Times New Roman" w:hAnsi="Times New Roman" w:cs="Times New Roman"/>
          <w:sz w:val="24"/>
          <w:szCs w:val="24"/>
        </w:rPr>
        <w:t xml:space="preserve"> регламент </w:t>
      </w:r>
      <w:r>
        <w:rPr>
          <w:rFonts w:ascii="Times New Roman" w:hAnsi="Times New Roman" w:cs="Times New Roman"/>
          <w:sz w:val="24"/>
          <w:szCs w:val="24"/>
        </w:rPr>
        <w:t xml:space="preserve">низьковольтного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електричного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обладнання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затверджений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Кабінету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Міністрів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від</w:t>
      </w:r>
      <w:r>
        <w:rPr>
          <w:rFonts w:ascii="Times New Roman" w:hAnsi="Times New Roman" w:cs="Times New Roman"/>
          <w:sz w:val="24"/>
          <w:szCs w:val="24"/>
        </w:rPr>
        <w:t xml:space="preserve"> 16 </w:t>
      </w:r>
      <w:r>
        <w:rPr>
          <w:rFonts w:ascii="Times New Roman" w:hAnsi="Times New Roman" w:cs="Times New Roman"/>
          <w:sz w:val="24"/>
          <w:szCs w:val="24"/>
        </w:rPr>
        <w:t xml:space="preserve">грудня</w:t>
      </w:r>
      <w:r>
        <w:rPr>
          <w:rFonts w:ascii="Times New Roman" w:hAnsi="Times New Roman" w:cs="Times New Roman"/>
          <w:sz w:val="24"/>
          <w:szCs w:val="24"/>
        </w:rPr>
        <w:t xml:space="preserve"> 2015 р. N 1067.</w:t>
      </w:r>
      <w:r/>
    </w:p>
    <w:p>
      <w:pPr>
        <w:pStyle w:val="693"/>
        <w:numPr>
          <w:ilvl w:val="0"/>
          <w:numId w:val="23"/>
        </w:numPr>
        <w:ind w:left="0" w:firstLine="567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Технічний</w:t>
      </w:r>
      <w:r>
        <w:rPr>
          <w:rFonts w:ascii="Times New Roman" w:hAnsi="Times New Roman" w:cs="Times New Roman"/>
          <w:sz w:val="24"/>
          <w:szCs w:val="24"/>
        </w:rPr>
        <w:t xml:space="preserve"> регламент </w:t>
      </w:r>
      <w:r>
        <w:rPr>
          <w:rFonts w:ascii="Times New Roman" w:hAnsi="Times New Roman" w:cs="Times New Roman"/>
          <w:sz w:val="24"/>
          <w:szCs w:val="24"/>
        </w:rPr>
        <w:t xml:space="preserve">обмеження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використання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небезпечних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речовин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електричному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 xml:space="preserve">електронному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обладнанні</w:t>
      </w:r>
      <w:r>
        <w:rPr>
          <w:rFonts w:ascii="Times New Roman" w:hAnsi="Times New Roman" w:cs="Times New Roman"/>
          <w:sz w:val="24"/>
          <w:szCs w:val="24"/>
        </w:rPr>
        <w:t xml:space="preserve"> (ПКМУ №139 </w:t>
      </w:r>
      <w:r>
        <w:rPr>
          <w:rFonts w:ascii="Times New Roman" w:hAnsi="Times New Roman" w:cs="Times New Roman"/>
          <w:sz w:val="24"/>
          <w:szCs w:val="24"/>
        </w:rPr>
        <w:t xml:space="preserve">від</w:t>
      </w:r>
      <w:r>
        <w:rPr>
          <w:rFonts w:ascii="Times New Roman" w:hAnsi="Times New Roman" w:cs="Times New Roman"/>
          <w:sz w:val="24"/>
          <w:szCs w:val="24"/>
        </w:rPr>
        <w:t xml:space="preserve"> 10.03.2017), </w:t>
      </w:r>
      <w:r>
        <w:rPr>
          <w:rFonts w:ascii="Times New Roman" w:hAnsi="Times New Roman" w:cs="Times New Roman"/>
          <w:sz w:val="24"/>
          <w:szCs w:val="24"/>
        </w:rPr>
        <w:t xml:space="preserve">від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персональних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комп’ютерів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693"/>
        <w:numPr>
          <w:ilvl w:val="0"/>
          <w:numId w:val="22"/>
        </w:numPr>
        <w:ind w:left="0" w:firstLine="709"/>
        <w:jc w:val="both"/>
        <w:spacing w:after="0" w:line="240" w:lineRule="auto"/>
        <w:widowControl w:val="off"/>
        <w:tabs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підтвердження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відповідності</w:t>
      </w:r>
      <w:r>
        <w:rPr>
          <w:rFonts w:ascii="Times New Roman" w:hAnsi="Times New Roman" w:cs="Times New Roman"/>
          <w:sz w:val="24"/>
          <w:szCs w:val="24"/>
        </w:rPr>
        <w:t xml:space="preserve"> товару (</w:t>
      </w:r>
      <w:r>
        <w:rPr>
          <w:rFonts w:ascii="Times New Roman" w:hAnsi="Times New Roman" w:cs="Times New Roman"/>
          <w:sz w:val="24"/>
          <w:szCs w:val="24"/>
        </w:rPr>
        <w:t xml:space="preserve">персональний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комп’ютер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</w:rPr>
        <w:t xml:space="preserve"> повинен </w:t>
      </w:r>
      <w:r>
        <w:rPr>
          <w:rFonts w:ascii="Times New Roman" w:hAnsi="Times New Roman" w:cs="Times New Roman"/>
          <w:sz w:val="24"/>
          <w:szCs w:val="24"/>
        </w:rPr>
        <w:t xml:space="preserve">надати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копію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наступних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сертифікатів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693"/>
        <w:numPr>
          <w:ilvl w:val="0"/>
          <w:numId w:val="23"/>
        </w:numPr>
        <w:jc w:val="both"/>
        <w:spacing w:after="0" w:line="240" w:lineRule="auto"/>
        <w:widowControl w:val="off"/>
        <w:tabs>
          <w:tab w:val="left" w:pos="1429" w:leader="none"/>
          <w:tab w:val="left" w:pos="171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Сертифікат</w:t>
      </w:r>
      <w:r>
        <w:rPr>
          <w:rFonts w:ascii="Times New Roman" w:hAnsi="Times New Roman" w:cs="Times New Roman"/>
          <w:sz w:val="24"/>
          <w:szCs w:val="24"/>
        </w:rPr>
        <w:t xml:space="preserve"> на систему </w:t>
      </w:r>
      <w:r>
        <w:rPr>
          <w:rFonts w:ascii="Times New Roman" w:hAnsi="Times New Roman" w:cs="Times New Roman"/>
          <w:sz w:val="24"/>
          <w:szCs w:val="24"/>
        </w:rPr>
        <w:t xml:space="preserve">управління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якістю</w:t>
      </w:r>
      <w:r>
        <w:rPr>
          <w:rFonts w:ascii="Times New Roman" w:hAnsi="Times New Roman" w:cs="Times New Roman"/>
          <w:sz w:val="24"/>
          <w:szCs w:val="24"/>
        </w:rPr>
        <w:t xml:space="preserve"> ДСТУ ISO 9001:2018; </w:t>
      </w:r>
      <w:r/>
    </w:p>
    <w:p>
      <w:pPr>
        <w:pStyle w:val="693"/>
        <w:numPr>
          <w:ilvl w:val="0"/>
          <w:numId w:val="23"/>
        </w:numPr>
        <w:jc w:val="both"/>
        <w:spacing w:after="0" w:line="240" w:lineRule="auto"/>
        <w:widowControl w:val="off"/>
        <w:tabs>
          <w:tab w:val="left" w:pos="1429" w:leader="none"/>
          <w:tab w:val="left" w:pos="171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Сертифікат</w:t>
      </w:r>
      <w:r>
        <w:rPr>
          <w:rFonts w:ascii="Times New Roman" w:hAnsi="Times New Roman" w:cs="Times New Roman"/>
          <w:sz w:val="24"/>
          <w:szCs w:val="24"/>
        </w:rPr>
        <w:t xml:space="preserve"> на систему </w:t>
      </w:r>
      <w:r>
        <w:rPr>
          <w:rFonts w:ascii="Times New Roman" w:hAnsi="Times New Roman" w:cs="Times New Roman"/>
          <w:sz w:val="24"/>
          <w:szCs w:val="24"/>
        </w:rPr>
        <w:t xml:space="preserve">екологічного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керування</w:t>
      </w:r>
      <w:r>
        <w:rPr>
          <w:rFonts w:ascii="Times New Roman" w:hAnsi="Times New Roman" w:cs="Times New Roman"/>
          <w:sz w:val="24"/>
          <w:szCs w:val="24"/>
        </w:rPr>
        <w:t xml:space="preserve"> ДСТУ ISO 14001:2015; </w:t>
      </w:r>
      <w:r/>
    </w:p>
    <w:p>
      <w:pPr>
        <w:pStyle w:val="693"/>
        <w:numPr>
          <w:ilvl w:val="0"/>
          <w:numId w:val="23"/>
        </w:numPr>
        <w:jc w:val="both"/>
        <w:spacing w:after="0" w:line="240" w:lineRule="auto"/>
        <w:widowControl w:val="off"/>
        <w:tabs>
          <w:tab w:val="left" w:pos="1429" w:leader="none"/>
          <w:tab w:val="left" w:pos="171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Сертифікат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системи</w:t>
      </w:r>
      <w:r>
        <w:rPr>
          <w:rFonts w:ascii="Times New Roman" w:hAnsi="Times New Roman" w:cs="Times New Roman"/>
          <w:sz w:val="24"/>
          <w:szCs w:val="24"/>
        </w:rPr>
        <w:t xml:space="preserve"> менеджменту </w:t>
      </w:r>
      <w:r>
        <w:rPr>
          <w:rFonts w:ascii="Times New Roman" w:hAnsi="Times New Roman" w:cs="Times New Roman"/>
          <w:sz w:val="24"/>
          <w:szCs w:val="24"/>
        </w:rPr>
        <w:t xml:space="preserve">охорони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здоров'я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 xml:space="preserve">безпеки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праці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Вимоги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 xml:space="preserve">настанови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щодо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застосовування</w:t>
      </w:r>
      <w:r>
        <w:rPr>
          <w:rFonts w:ascii="Times New Roman" w:hAnsi="Times New Roman" w:cs="Times New Roman"/>
          <w:sz w:val="24"/>
          <w:szCs w:val="24"/>
        </w:rPr>
        <w:t xml:space="preserve"> ISO 45001:2018.</w:t>
      </w:r>
      <w:r/>
    </w:p>
    <w:p>
      <w:pPr>
        <w:pStyle w:val="693"/>
        <w:numPr>
          <w:ilvl w:val="0"/>
          <w:numId w:val="22"/>
        </w:numPr>
        <w:ind w:left="0" w:firstLine="709"/>
        <w:jc w:val="both"/>
        <w:spacing w:after="0" w:line="240" w:lineRule="auto"/>
        <w:widowControl w:val="off"/>
        <w:tabs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надати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перелік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сервісних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центрів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служби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технічної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підтримки</w:t>
      </w:r>
      <w:r>
        <w:rPr>
          <w:rFonts w:ascii="Times New Roman" w:hAnsi="Times New Roman" w:cs="Times New Roman"/>
          <w:sz w:val="24"/>
          <w:szCs w:val="24"/>
        </w:rPr>
        <w:t xml:space="preserve">, у </w:t>
      </w:r>
      <w:r>
        <w:rPr>
          <w:rFonts w:ascii="Times New Roman" w:hAnsi="Times New Roman" w:cs="Times New Roman"/>
          <w:sz w:val="24"/>
          <w:szCs w:val="24"/>
        </w:rPr>
        <w:t xml:space="preserve">яких</w:t>
      </w:r>
      <w:r>
        <w:rPr>
          <w:rFonts w:ascii="Times New Roman" w:hAnsi="Times New Roman" w:cs="Times New Roman"/>
          <w:sz w:val="24"/>
          <w:szCs w:val="24"/>
        </w:rPr>
        <w:t xml:space="preserve"> буде </w:t>
      </w:r>
      <w:r>
        <w:rPr>
          <w:rFonts w:ascii="Times New Roman" w:hAnsi="Times New Roman" w:cs="Times New Roman"/>
          <w:sz w:val="24"/>
          <w:szCs w:val="24"/>
        </w:rPr>
        <w:t xml:space="preserve">здійснюватися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гарантійне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обслуговування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пропонованого</w:t>
      </w:r>
      <w:r>
        <w:rPr>
          <w:rFonts w:ascii="Times New Roman" w:hAnsi="Times New Roman" w:cs="Times New Roman"/>
          <w:sz w:val="24"/>
          <w:szCs w:val="24"/>
        </w:rPr>
        <w:t xml:space="preserve"> товару на </w:t>
      </w:r>
      <w:r>
        <w:rPr>
          <w:rFonts w:ascii="Times New Roman" w:hAnsi="Times New Roman" w:cs="Times New Roman"/>
          <w:sz w:val="24"/>
          <w:szCs w:val="24"/>
        </w:rPr>
        <w:t xml:space="preserve">території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України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Під</w:t>
      </w:r>
      <w:r>
        <w:rPr>
          <w:rFonts w:ascii="Times New Roman" w:hAnsi="Times New Roman" w:cs="Times New Roman"/>
          <w:sz w:val="24"/>
          <w:szCs w:val="24"/>
        </w:rPr>
        <w:t xml:space="preserve"> час </w:t>
      </w:r>
      <w:r>
        <w:rPr>
          <w:rFonts w:ascii="Times New Roman" w:hAnsi="Times New Roman" w:cs="Times New Roman"/>
          <w:sz w:val="24"/>
          <w:szCs w:val="24"/>
        </w:rPr>
        <w:t xml:space="preserve">постачання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товарів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надає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гарантійні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талони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строком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гарантії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 xml:space="preserve">із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зазначенням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обладнання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 xml:space="preserve">його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серійних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номерів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/>
    </w:p>
    <w:p>
      <w:pPr>
        <w:pStyle w:val="693"/>
        <w:numPr>
          <w:ilvl w:val="0"/>
          <w:numId w:val="22"/>
        </w:numPr>
        <w:ind w:left="0" w:firstLine="709"/>
        <w:jc w:val="both"/>
        <w:spacing w:after="0" w:line="240" w:lineRule="auto"/>
        <w:widowControl w:val="off"/>
        <w:tabs>
          <w:tab w:val="left" w:pos="284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Замовник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має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звернутися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підтвердженням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інформації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наданої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учасником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органів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державної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влади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підприємств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установ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організацій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відповідно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їх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компетенції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отримання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достовірної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інформації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невідповідність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вимогам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кваліфікаційних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критеріїв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або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факту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зазначення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тендерній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пропозиції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будь-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якої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недостовірної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інформації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що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є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суттєвою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визначенні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результатів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процедури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закупівлі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замовник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відхиляє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тендерну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пропозицію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учасника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отримання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достовірної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інформації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невідповідність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вимогам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кваліфікаційних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критеріїв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замовник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має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відхилити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тендерну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пропозицію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</w:t>
      </w:r>
      <w:r/>
    </w:p>
    <w:p>
      <w:pPr>
        <w:pStyle w:val="693"/>
        <w:numPr>
          <w:ilvl w:val="0"/>
          <w:numId w:val="22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Доставка </w:t>
      </w:r>
      <w:r>
        <w:rPr>
          <w:rFonts w:ascii="Times New Roman" w:hAnsi="Times New Roman" w:cs="Times New Roman"/>
          <w:sz w:val="24"/>
          <w:szCs w:val="24"/>
        </w:rPr>
        <w:t xml:space="preserve">до складу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Замовника</w:t>
      </w:r>
      <w:r>
        <w:rPr>
          <w:rFonts w:ascii="Times New Roman" w:hAnsi="Times New Roman" w:cs="Times New Roman"/>
          <w:sz w:val="24"/>
          <w:szCs w:val="24"/>
        </w:rPr>
        <w:t xml:space="preserve"> Товару, </w:t>
      </w:r>
      <w:r>
        <w:rPr>
          <w:rFonts w:ascii="Times New Roman" w:hAnsi="Times New Roman" w:cs="Times New Roman"/>
          <w:sz w:val="24"/>
          <w:szCs w:val="24"/>
        </w:rPr>
        <w:t xml:space="preserve">навантаження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 xml:space="preserve">розвантаження</w:t>
      </w:r>
      <w:r>
        <w:rPr>
          <w:rFonts w:ascii="Times New Roman" w:hAnsi="Times New Roman" w:cs="Times New Roman"/>
          <w:sz w:val="24"/>
          <w:szCs w:val="24"/>
        </w:rPr>
        <w:t xml:space="preserve"> Товару на склад </w:t>
      </w:r>
      <w:r>
        <w:rPr>
          <w:rFonts w:ascii="Times New Roman" w:hAnsi="Times New Roman" w:cs="Times New Roman"/>
          <w:sz w:val="24"/>
          <w:szCs w:val="24"/>
        </w:rPr>
        <w:t xml:space="preserve">Замовника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здійснюється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Переможцем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 xml:space="preserve">його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власний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рахунок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1 244 250,00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один мільйон двісті сорок чотири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тисяч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двісті п’ятдесят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8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069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4"/>
  </w:num>
  <w:num w:numId="5">
    <w:abstractNumId w:val="4"/>
  </w:num>
  <w:num w:numId="6">
    <w:abstractNumId w:val="17"/>
  </w:num>
  <w:num w:numId="7">
    <w:abstractNumId w:val="7"/>
  </w:num>
  <w:num w:numId="8">
    <w:abstractNumId w:val="19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8"/>
  </w:num>
  <w:num w:numId="17">
    <w:abstractNumId w:val="0"/>
  </w:num>
  <w:num w:numId="18">
    <w:abstractNumId w:val="20"/>
  </w:num>
  <w:num w:numId="19">
    <w:abstractNumId w:val="15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8"/>
    <w:next w:val="68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90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90"/>
    <w:link w:val="689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8"/>
    <w:next w:val="68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9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8"/>
    <w:next w:val="68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9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8"/>
    <w:next w:val="68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9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8"/>
    <w:next w:val="68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9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8"/>
    <w:next w:val="68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9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8"/>
    <w:next w:val="68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9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8"/>
    <w:next w:val="68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9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88"/>
    <w:next w:val="68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90"/>
    <w:link w:val="33"/>
    <w:uiPriority w:val="10"/>
    <w:rPr>
      <w:sz w:val="48"/>
      <w:szCs w:val="48"/>
    </w:rPr>
  </w:style>
  <w:style w:type="paragraph" w:styleId="35">
    <w:name w:val="Subtitle"/>
    <w:basedOn w:val="688"/>
    <w:next w:val="68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90"/>
    <w:link w:val="35"/>
    <w:uiPriority w:val="11"/>
    <w:rPr>
      <w:sz w:val="24"/>
      <w:szCs w:val="24"/>
    </w:rPr>
  </w:style>
  <w:style w:type="paragraph" w:styleId="37">
    <w:name w:val="Quote"/>
    <w:basedOn w:val="688"/>
    <w:next w:val="68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8"/>
    <w:next w:val="68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90"/>
    <w:link w:val="41"/>
    <w:uiPriority w:val="99"/>
  </w:style>
  <w:style w:type="character" w:styleId="44">
    <w:name w:val="Footer Char"/>
    <w:basedOn w:val="690"/>
    <w:link w:val="699"/>
    <w:uiPriority w:val="99"/>
  </w:style>
  <w:style w:type="paragraph" w:styleId="45">
    <w:name w:val="Caption"/>
    <w:basedOn w:val="688"/>
    <w:next w:val="6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9"/>
    <w:uiPriority w:val="99"/>
  </w:style>
  <w:style w:type="table" w:styleId="48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90"/>
    <w:uiPriority w:val="99"/>
    <w:unhideWhenUsed/>
    <w:rPr>
      <w:vertAlign w:val="superscript"/>
    </w:rPr>
  </w:style>
  <w:style w:type="paragraph" w:styleId="177">
    <w:name w:val="endnote text"/>
    <w:basedOn w:val="68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90"/>
    <w:uiPriority w:val="99"/>
    <w:semiHidden/>
    <w:unhideWhenUsed/>
    <w:rPr>
      <w:vertAlign w:val="superscript"/>
    </w:rPr>
  </w:style>
  <w:style w:type="paragraph" w:styleId="180">
    <w:name w:val="toc 1"/>
    <w:basedOn w:val="688"/>
    <w:next w:val="68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8"/>
    <w:next w:val="68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8"/>
    <w:next w:val="68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8"/>
    <w:next w:val="68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8"/>
    <w:next w:val="68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8"/>
    <w:next w:val="68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8"/>
    <w:next w:val="68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8"/>
    <w:next w:val="68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8"/>
    <w:next w:val="68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8"/>
    <w:next w:val="688"/>
    <w:uiPriority w:val="99"/>
    <w:unhideWhenUsed/>
    <w:pPr>
      <w:spacing w:after="0" w:afterAutospacing="0"/>
    </w:pPr>
  </w:style>
  <w:style w:type="paragraph" w:styleId="688" w:default="1">
    <w:name w:val="Normal"/>
    <w:qFormat/>
    <w:rPr>
      <w:lang w:val="uk-UA"/>
    </w:rPr>
  </w:style>
  <w:style w:type="paragraph" w:styleId="689">
    <w:name w:val="Heading 2"/>
    <w:basedOn w:val="688"/>
    <w:link w:val="708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paragraph" w:styleId="693">
    <w:name w:val="List Paragraph"/>
    <w:basedOn w:val="688"/>
    <w:link w:val="69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94" w:customStyle="1">
    <w:name w:val="Абзац списку Знак"/>
    <w:link w:val="693"/>
    <w:rPr>
      <w:rFonts w:ascii="Calibri" w:hAnsi="Calibri" w:eastAsia="Calibri" w:cs="Calibri"/>
      <w:lang w:eastAsia="zh-CN"/>
    </w:rPr>
  </w:style>
  <w:style w:type="table" w:styleId="695">
    <w:name w:val="Table Grid"/>
    <w:basedOn w:val="69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6" w:customStyle="1">
    <w:name w:val="Сетка таблицы2"/>
    <w:basedOn w:val="691"/>
    <w:next w:val="695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7">
    <w:name w:val="Normal (Web)"/>
    <w:basedOn w:val="688"/>
    <w:link w:val="704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698" w:customStyle="1">
    <w:name w:val="Сетка таблицы1"/>
    <w:basedOn w:val="691"/>
    <w:next w:val="695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9">
    <w:name w:val="Footer"/>
    <w:basedOn w:val="688"/>
    <w:link w:val="700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00" w:customStyle="1">
    <w:name w:val="Нижній колонтитул Знак"/>
    <w:basedOn w:val="690"/>
    <w:link w:val="699"/>
    <w:uiPriority w:val="99"/>
    <w:rPr>
      <w:rFonts w:ascii="Calibri" w:hAnsi="Calibri" w:eastAsia="Calibri" w:cs="Calibri"/>
      <w:lang w:eastAsia="zh-CN"/>
    </w:rPr>
  </w:style>
  <w:style w:type="paragraph" w:styleId="701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02">
    <w:name w:val="Hyperlink"/>
    <w:basedOn w:val="690"/>
    <w:uiPriority w:val="99"/>
    <w:unhideWhenUsed/>
    <w:rPr>
      <w:color w:val="0563c1" w:themeColor="hyperlink"/>
      <w:u w:val="single"/>
    </w:rPr>
  </w:style>
  <w:style w:type="character" w:styleId="703" w:customStyle="1">
    <w:name w:val="xfm_93972720"/>
    <w:basedOn w:val="690"/>
  </w:style>
  <w:style w:type="character" w:styleId="704" w:customStyle="1">
    <w:name w:val="Звичайний (веб) Знак"/>
    <w:link w:val="697"/>
    <w:uiPriority w:val="99"/>
    <w:qFormat/>
    <w:rPr>
      <w:rFonts w:ascii="Times New Roman" w:hAnsi="Times New Roman" w:cs="Times New Roman"/>
      <w:sz w:val="24"/>
      <w:szCs w:val="24"/>
      <w:lang w:val="uk-UA"/>
    </w:rPr>
  </w:style>
  <w:style w:type="paragraph" w:styleId="705">
    <w:name w:val="Body Text 2"/>
    <w:basedOn w:val="688"/>
    <w:link w:val="706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6" w:customStyle="1">
    <w:name w:val="Основний текст 2 Знак"/>
    <w:basedOn w:val="690"/>
    <w:link w:val="705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7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8" w:customStyle="1">
    <w:name w:val="Заголовок 2 Знак"/>
    <w:basedOn w:val="690"/>
    <w:link w:val="689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9">
    <w:name w:val="No Spacing"/>
    <w:link w:val="710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10" w:customStyle="1">
    <w:name w:val="Без інтервалів Знак"/>
    <w:basedOn w:val="690"/>
    <w:link w:val="709"/>
    <w:uiPriority w:val="1"/>
    <w:rPr>
      <w:rFonts w:ascii="Calibri" w:hAnsi="Calibri" w:eastAsia="Calibri" w:cs="Times New Roman"/>
      <w:lang w:val="uk-UA"/>
    </w:rPr>
  </w:style>
  <w:style w:type="character" w:styleId="711" w:customStyle="1">
    <w:name w:val="Другое_"/>
    <w:basedOn w:val="690"/>
    <w:link w:val="712"/>
    <w:rPr>
      <w:rFonts w:ascii="Calibri" w:hAnsi="Calibri" w:eastAsia="Calibri" w:cs="Calibri"/>
      <w:sz w:val="20"/>
      <w:szCs w:val="20"/>
    </w:rPr>
  </w:style>
  <w:style w:type="paragraph" w:styleId="712" w:customStyle="1">
    <w:name w:val="Другое"/>
    <w:basedOn w:val="688"/>
    <w:link w:val="711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13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14" w:customStyle="1">
    <w:name w:val="Основной текст (2)_"/>
    <w:basedOn w:val="690"/>
    <w:link w:val="715"/>
    <w:rPr>
      <w:rFonts w:eastAsia="Times New Roman" w:cs="Times New Roman"/>
      <w:shd w:val="clear" w:color="auto" w:fill="ffffff"/>
    </w:rPr>
  </w:style>
  <w:style w:type="paragraph" w:styleId="715" w:customStyle="1">
    <w:name w:val="Основной текст (2)"/>
    <w:basedOn w:val="688"/>
    <w:link w:val="714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16" w:customStyle="1">
    <w:name w:val="Текст у виносці Знак"/>
    <w:basedOn w:val="690"/>
    <w:link w:val="717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17">
    <w:name w:val="Balloon Text"/>
    <w:basedOn w:val="688"/>
    <w:link w:val="716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18" w:customStyle="1">
    <w:name w:val="Текст у виносці Знак1"/>
    <w:basedOn w:val="690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19" w:customStyle="1">
    <w:name w:val="T23"/>
    <w:rPr>
      <w:rFonts w:hint="default" w:ascii="Times New Roman" w:hAnsi="Times New Roman" w:eastAsia="Times New Roman1" w:cs="Times New Roman"/>
    </w:rPr>
  </w:style>
  <w:style w:type="paragraph" w:styleId="720" w:customStyle="1">
    <w:name w:val="Абзац списку1"/>
    <w:basedOn w:val="688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21" w:customStyle="1">
    <w:name w:val="markedcontent"/>
    <w:basedOn w:val="690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140</cp:revision>
  <dcterms:created xsi:type="dcterms:W3CDTF">2022-11-01T12:47:00Z</dcterms:created>
  <dcterms:modified xsi:type="dcterms:W3CDTF">2023-10-17T19:45:30Z</dcterms:modified>
</cp:coreProperties>
</file>