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06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Паперові рушники та туалетний папір за кодом CPV за ЄЗС ДК 021:2015 - 33760000-5 Туалетний папір, носові хустинки, рушники для рук і серветки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09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1634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Паперові рушники та туалетний папір за кодом CPV за ЄЗС ДК 021:2015 - 33760000-5 Туалетний папір, носові хустинки, рушники для рук і серветки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/>
      <w:bookmarkStart w:id="0" w:name="_Hlk133583335"/>
      <w:r/>
      <w:bookmarkEnd w:id="0"/>
      <w:r/>
    </w:p>
    <w:p>
      <w:pPr>
        <w:ind w:firstLine="357"/>
        <w:jc w:val="center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tbl>
      <w:tblPr>
        <w:tblStyle w:val="712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Назва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Одиниця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14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Паперові</w:t>
            </w:r>
            <w:r>
              <w:rPr>
                <w:b/>
                <w:bCs/>
                <w:lang w:val="ru-RU"/>
              </w:rPr>
              <w:t xml:space="preserve"> рушники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уп</w:t>
            </w:r>
            <w:r>
              <w:rPr>
                <w:b/>
                <w:lang w:val="ru-RU"/>
              </w:rPr>
              <w:t xml:space="preserve">. (</w:t>
            </w:r>
            <w:r>
              <w:rPr>
                <w:b/>
                <w:lang w:val="ru-RU"/>
              </w:rPr>
              <w:t xml:space="preserve">пач</w:t>
            </w:r>
            <w:r>
              <w:rPr>
                <w:b/>
                <w:lang w:val="ru-RU"/>
              </w:rPr>
              <w:t xml:space="preserve">.)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500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714"/>
              <w:rPr>
                <w:b/>
                <w:bCs/>
                <w:lang w:val="ru-RU"/>
              </w:rPr>
            </w:pPr>
            <w:r>
              <w:rPr>
                <w:b/>
                <w:lang w:val="ru-RU"/>
              </w:rPr>
              <w:t xml:space="preserve">Туалетний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папір</w:t>
            </w:r>
            <w:r>
              <w:rPr>
                <w:b/>
                <w:lang w:val="ru-RU"/>
              </w:rPr>
              <w:t xml:space="preserve">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 xml:space="preserve">шт. (</w:t>
            </w:r>
            <w:r>
              <w:rPr>
                <w:b/>
                <w:lang w:val="ru-RU"/>
              </w:rPr>
              <w:t xml:space="preserve">рул</w:t>
            </w:r>
            <w:r>
              <w:rPr>
                <w:b/>
                <w:lang w:val="ru-RU"/>
              </w:rPr>
              <w:t xml:space="preserve">.)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3200</w:t>
            </w:r>
            <w:r/>
          </w:p>
        </w:tc>
      </w:tr>
    </w:tbl>
    <w:p>
      <w:pPr>
        <w:pStyle w:val="714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714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завершення.</w:t>
      </w:r>
      <w:r/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 (характеристики будуть порівнюватися із характеристиками на зазначений товар в Специфікації).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5. Учаснику необхідно зазначити конкретну назву, марку, модель Товару, що пропонується для визначення замовником технічних характеристик Товару, що пропонується Учасником.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6.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Вимоги щодо якості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предмет закупівлі повинен бути 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вим, таким, що не перебував в експлуатації, терміни та умови його зберігання не порушені. Якість товару повинна відповідати вимогам відповідних діючих нормативних документів (ДСТУ, ТУ, тощо), екологічним і санітарно-гігієнічним нормам згідно законодавства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України, встановлених для даного виду товару. Якість товару повинна бути підтверджена сертифікатом якості виробника та/або сертифікатом відповідності та/або іншими документами, що підтверджують якість товару. Необхідність посилання на ДСТУ, ТУ, назви вироб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ника ґрунтується на великій кількості не якісного однорідного товару на ринку України зі схожими якісними та фізичними (експлуатаційними) характеристиками. Надати у складі тендерної пропозиції копії документів, що підтверджують вимоги щодо якості на Товар.</w:t>
      </w:r>
      <w:r/>
    </w:p>
    <w:p>
      <w:pPr>
        <w:ind w:left="14" w:firstLine="538"/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16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Характеристика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Опис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технічних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вимог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які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визначені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Замовником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Опис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технічних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вимог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які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пропонуються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 w:eastAsia="ar-SA"/>
              </w:rPr>
              <w:t xml:space="preserve">Учасником</w:t>
            </w:r>
            <w:r/>
          </w:p>
        </w:tc>
      </w:tr>
    </w:tbl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/>
      <w:bookmarkStart w:id="1" w:name="_Hlk134167948"/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</w:t>
      </w:r>
      <w:bookmarkStart w:id="2" w:name="_Hlk134167935"/>
      <w:r>
        <w:rPr>
          <w:rFonts w:ascii="Times New Roman" w:hAnsi="Times New Roman" w:cs="Times New Roman"/>
          <w:bCs/>
          <w:iCs/>
          <w:sz w:val="24"/>
          <w:szCs w:val="24"/>
        </w:rPr>
        <w:t xml:space="preserve">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bookmarkEnd w:id="1"/>
      <w:bookmarkEnd w:id="2"/>
      <w:r/>
    </w:p>
    <w:p>
      <w:pPr>
        <w:pStyle w:val="710"/>
        <w:ind w:left="0" w:firstLine="567"/>
        <w:jc w:val="center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710"/>
        <w:ind w:left="0" w:firstLine="567"/>
        <w:jc w:val="center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Style w:val="712"/>
        <w:tblW w:w="9634" w:type="dxa"/>
        <w:tblLook w:val="04A0" w:firstRow="1" w:lastRow="0" w:firstColumn="1" w:lastColumn="0" w:noHBand="0" w:noVBand="1"/>
      </w:tblPr>
      <w:tblGrid>
        <w:gridCol w:w="455"/>
        <w:gridCol w:w="6567"/>
        <w:gridCol w:w="1208"/>
        <w:gridCol w:w="1404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contextualSpacing/>
              <w:jc w:val="both"/>
              <w:spacing w:after="25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/>
            <w:bookmarkStart w:id="3" w:name="_Hlk134167923"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7" w:type="dxa"/>
            <w:textDirection w:val="lrTb"/>
            <w:noWrap w:val="false"/>
          </w:tcPr>
          <w:p>
            <w:pPr>
              <w:contextualSpacing/>
              <w:jc w:val="center"/>
              <w:spacing w:after="25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Найменування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обладнання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contextualSpacing/>
              <w:jc w:val="center"/>
              <w:spacing w:after="25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Одиниця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contextualSpacing/>
              <w:jc w:val="both"/>
              <w:spacing w:after="25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contextualSpacing/>
              <w:spacing w:after="25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Паперові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рушники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500</w:t>
            </w:r>
            <w:r/>
          </w:p>
        </w:tc>
      </w:tr>
      <w:tr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4" w:type="dxa"/>
            <w:vAlign w:val="center"/>
            <w:textDirection w:val="lrTb"/>
            <w:noWrap w:val="false"/>
          </w:tcPr>
          <w:p>
            <w:pPr>
              <w:contextualSpacing/>
              <w:spacing w:after="25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колір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білий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кількість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шарів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– 2,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кількість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листів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пачці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– 200 шт.,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складання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Z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матеріал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– 100 %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целюлоза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розміри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– не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менше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ніж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22,5 х 21 см.,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щільність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паперу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– не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менше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ніж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16 г/м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,без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запаху.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2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67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spacing w:after="25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Туалетний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папір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25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шт.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рул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spacing w:after="25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3200</w:t>
            </w:r>
            <w:r/>
          </w:p>
        </w:tc>
      </w:tr>
      <w:tr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4" w:type="dxa"/>
            <w:vAlign w:val="center"/>
            <w:textDirection w:val="lrTb"/>
            <w:noWrap w:val="false"/>
          </w:tcPr>
          <w:p>
            <w:pPr>
              <w:contextualSpacing/>
              <w:spacing w:after="255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Style w:val="74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колір</w:t>
            </w:r>
            <w:r>
              <w:rPr>
                <w:rStyle w:val="74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</w:t>
            </w:r>
            <w:r>
              <w:rPr>
                <w:rStyle w:val="74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білий</w:t>
            </w:r>
            <w:r>
              <w:rPr>
                <w:rStyle w:val="741"/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кількість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шарів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3,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кількість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листів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відривів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140,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матеріал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100 %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целюлоза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щільність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паперу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 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більше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15 г/м²,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перфорація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по 12 см., ширина –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менше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9,3 см.,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довжина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рулона –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менше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16,8 м., без запаху. </w:t>
            </w:r>
            <w:bookmarkEnd w:id="3"/>
            <w:r/>
          </w:p>
        </w:tc>
      </w:tr>
    </w:tbl>
    <w:p>
      <w:pPr>
        <w:ind w:firstLine="567"/>
        <w:jc w:val="both"/>
        <w:spacing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firstLine="567"/>
        <w:jc w:val="both"/>
        <w:spacing w:after="0" w:line="240" w:lineRule="auto"/>
        <w:tabs>
          <w:tab w:val="left" w:pos="540" w:leader="none"/>
          <w:tab w:val="left" w:pos="684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72 111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сімдесят дві тисячі сто одинадцять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14"/>
  </w:num>
  <w:num w:numId="3">
    <w:abstractNumId w:val="6"/>
  </w:num>
  <w:num w:numId="4">
    <w:abstractNumId w:val="20"/>
  </w:num>
  <w:num w:numId="5">
    <w:abstractNumId w:val="5"/>
  </w:num>
  <w:num w:numId="6">
    <w:abstractNumId w:val="26"/>
  </w:num>
  <w:num w:numId="7">
    <w:abstractNumId w:val="9"/>
  </w:num>
  <w:num w:numId="8">
    <w:abstractNumId w:val="28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0"/>
  </w:num>
  <w:num w:numId="18">
    <w:abstractNumId w:val="29"/>
  </w:num>
  <w:num w:numId="19">
    <w:abstractNumId w:val="2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2"/>
  </w:num>
  <w:num w:numId="25">
    <w:abstractNumId w:val="15"/>
  </w:num>
  <w:num w:numId="26">
    <w:abstractNumId w:val="18"/>
  </w:num>
  <w:num w:numId="27">
    <w:abstractNumId w:val="23"/>
  </w:num>
  <w:num w:numId="28">
    <w:abstractNumId w:val="16"/>
  </w:num>
  <w:num w:numId="29">
    <w:abstractNumId w:val="24"/>
  </w:num>
  <w:num w:numId="30">
    <w:abstractNumId w:val="1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5"/>
    <w:next w:val="70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7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07"/>
    <w:link w:val="70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5"/>
    <w:next w:val="70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5"/>
    <w:next w:val="70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5"/>
    <w:next w:val="70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5"/>
    <w:next w:val="70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5"/>
    <w:next w:val="70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5"/>
    <w:next w:val="70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5"/>
    <w:next w:val="70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05"/>
    <w:next w:val="70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7"/>
    <w:link w:val="33"/>
    <w:uiPriority w:val="10"/>
    <w:rPr>
      <w:sz w:val="48"/>
      <w:szCs w:val="48"/>
    </w:rPr>
  </w:style>
  <w:style w:type="paragraph" w:styleId="35">
    <w:name w:val="Subtitle"/>
    <w:basedOn w:val="705"/>
    <w:next w:val="70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7"/>
    <w:link w:val="35"/>
    <w:uiPriority w:val="11"/>
    <w:rPr>
      <w:sz w:val="24"/>
      <w:szCs w:val="24"/>
    </w:rPr>
  </w:style>
  <w:style w:type="paragraph" w:styleId="37">
    <w:name w:val="Quote"/>
    <w:basedOn w:val="705"/>
    <w:next w:val="70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5"/>
    <w:next w:val="70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0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07"/>
    <w:link w:val="41"/>
    <w:uiPriority w:val="99"/>
  </w:style>
  <w:style w:type="character" w:styleId="44">
    <w:name w:val="Footer Char"/>
    <w:basedOn w:val="707"/>
    <w:link w:val="716"/>
    <w:uiPriority w:val="99"/>
  </w:style>
  <w:style w:type="paragraph" w:styleId="45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8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7"/>
    <w:uiPriority w:val="99"/>
    <w:unhideWhenUsed/>
    <w:rPr>
      <w:vertAlign w:val="superscript"/>
    </w:rPr>
  </w:style>
  <w:style w:type="paragraph" w:styleId="177">
    <w:name w:val="endnote text"/>
    <w:basedOn w:val="70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7"/>
    <w:uiPriority w:val="99"/>
    <w:semiHidden/>
    <w:unhideWhenUsed/>
    <w:rPr>
      <w:vertAlign w:val="superscript"/>
    </w:rPr>
  </w:style>
  <w:style w:type="paragraph" w:styleId="180">
    <w:name w:val="toc 1"/>
    <w:basedOn w:val="705"/>
    <w:next w:val="70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5"/>
    <w:next w:val="70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5"/>
    <w:next w:val="70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5"/>
    <w:next w:val="70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5"/>
    <w:next w:val="70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5"/>
    <w:next w:val="70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5"/>
    <w:next w:val="70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5"/>
    <w:next w:val="70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5"/>
    <w:next w:val="70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5"/>
    <w:next w:val="705"/>
    <w:uiPriority w:val="99"/>
    <w:unhideWhenUsed/>
    <w:pPr>
      <w:spacing w:after="0" w:afterAutospacing="0"/>
    </w:pPr>
  </w:style>
  <w:style w:type="paragraph" w:styleId="705" w:default="1">
    <w:name w:val="Normal"/>
    <w:qFormat/>
    <w:rPr>
      <w:lang w:val="uk-UA"/>
    </w:rPr>
  </w:style>
  <w:style w:type="paragraph" w:styleId="706">
    <w:name w:val="Heading 2"/>
    <w:basedOn w:val="705"/>
    <w:link w:val="72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paragraph" w:styleId="710">
    <w:name w:val="List Paragraph"/>
    <w:basedOn w:val="705"/>
    <w:link w:val="71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1" w:customStyle="1">
    <w:name w:val="Абзац списку Знак"/>
    <w:link w:val="710"/>
    <w:uiPriority w:val="34"/>
    <w:qFormat/>
    <w:rPr>
      <w:rFonts w:ascii="Calibri" w:hAnsi="Calibri" w:eastAsia="Calibri" w:cs="Calibri"/>
      <w:lang w:eastAsia="zh-CN"/>
    </w:rPr>
  </w:style>
  <w:style w:type="table" w:styleId="712">
    <w:name w:val="Table Grid"/>
    <w:basedOn w:val="70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3" w:customStyle="1">
    <w:name w:val="Сетка таблицы2"/>
    <w:basedOn w:val="708"/>
    <w:next w:val="712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4">
    <w:name w:val="Normal (Web)"/>
    <w:basedOn w:val="705"/>
    <w:link w:val="721"/>
    <w:unhideWhenUsed/>
    <w:qFormat/>
    <w:rPr>
      <w:rFonts w:ascii="Times New Roman" w:hAnsi="Times New Roman" w:cs="Times New Roman"/>
      <w:sz w:val="24"/>
      <w:szCs w:val="24"/>
    </w:rPr>
  </w:style>
  <w:style w:type="table" w:styleId="715" w:customStyle="1">
    <w:name w:val="Сетка таблицы1"/>
    <w:basedOn w:val="708"/>
    <w:next w:val="712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6">
    <w:name w:val="Footer"/>
    <w:basedOn w:val="705"/>
    <w:link w:val="717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17" w:customStyle="1">
    <w:name w:val="Нижній колонтитул Знак"/>
    <w:basedOn w:val="707"/>
    <w:link w:val="716"/>
    <w:uiPriority w:val="99"/>
    <w:rPr>
      <w:rFonts w:ascii="Calibri" w:hAnsi="Calibri" w:eastAsia="Calibri" w:cs="Calibri"/>
      <w:lang w:eastAsia="zh-CN"/>
    </w:rPr>
  </w:style>
  <w:style w:type="paragraph" w:styleId="718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19">
    <w:name w:val="Hyperlink"/>
    <w:basedOn w:val="707"/>
    <w:uiPriority w:val="99"/>
    <w:unhideWhenUsed/>
    <w:rPr>
      <w:color w:val="0563c1" w:themeColor="hyperlink"/>
      <w:u w:val="single"/>
    </w:rPr>
  </w:style>
  <w:style w:type="character" w:styleId="720" w:customStyle="1">
    <w:name w:val="xfm_93972720"/>
    <w:basedOn w:val="707"/>
  </w:style>
  <w:style w:type="character" w:styleId="721" w:customStyle="1">
    <w:name w:val="Звичайний (веб) Знак"/>
    <w:link w:val="714"/>
    <w:qFormat/>
    <w:rPr>
      <w:rFonts w:ascii="Times New Roman" w:hAnsi="Times New Roman" w:cs="Times New Roman"/>
      <w:sz w:val="24"/>
      <w:szCs w:val="24"/>
      <w:lang w:val="uk-UA"/>
    </w:rPr>
  </w:style>
  <w:style w:type="paragraph" w:styleId="722">
    <w:name w:val="Body Text 2"/>
    <w:basedOn w:val="705"/>
    <w:link w:val="723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3" w:customStyle="1">
    <w:name w:val="Основний текст 2 Знак"/>
    <w:basedOn w:val="707"/>
    <w:link w:val="72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4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25" w:customStyle="1">
    <w:name w:val="Заголовок 2 Знак"/>
    <w:basedOn w:val="707"/>
    <w:link w:val="706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26">
    <w:name w:val="No Spacing"/>
    <w:link w:val="727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27" w:customStyle="1">
    <w:name w:val="Без інтервалів Знак"/>
    <w:basedOn w:val="707"/>
    <w:link w:val="726"/>
    <w:uiPriority w:val="1"/>
    <w:rPr>
      <w:rFonts w:ascii="Calibri" w:hAnsi="Calibri" w:eastAsia="Calibri" w:cs="Times New Roman"/>
      <w:lang w:val="uk-UA"/>
    </w:rPr>
  </w:style>
  <w:style w:type="character" w:styleId="728" w:customStyle="1">
    <w:name w:val="Другое_"/>
    <w:basedOn w:val="707"/>
    <w:link w:val="729"/>
    <w:rPr>
      <w:rFonts w:ascii="Calibri" w:hAnsi="Calibri" w:eastAsia="Calibri" w:cs="Calibri"/>
      <w:sz w:val="20"/>
      <w:szCs w:val="20"/>
    </w:rPr>
  </w:style>
  <w:style w:type="paragraph" w:styleId="729" w:customStyle="1">
    <w:name w:val="Другое"/>
    <w:basedOn w:val="705"/>
    <w:link w:val="728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0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1" w:customStyle="1">
    <w:name w:val="Основной текст (2)_"/>
    <w:basedOn w:val="707"/>
    <w:link w:val="732"/>
    <w:rPr>
      <w:rFonts w:eastAsia="Times New Roman" w:cs="Times New Roman"/>
      <w:shd w:val="clear" w:color="auto" w:fill="ffffff"/>
    </w:rPr>
  </w:style>
  <w:style w:type="paragraph" w:styleId="732" w:customStyle="1">
    <w:name w:val="Основной текст (2)"/>
    <w:basedOn w:val="705"/>
    <w:link w:val="731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3" w:customStyle="1">
    <w:name w:val="Текст у виносці Знак"/>
    <w:basedOn w:val="707"/>
    <w:link w:val="73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34">
    <w:name w:val="Balloon Text"/>
    <w:basedOn w:val="705"/>
    <w:link w:val="733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35" w:customStyle="1">
    <w:name w:val="Текст у виносці Знак1"/>
    <w:basedOn w:val="707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36" w:customStyle="1">
    <w:name w:val="T23"/>
    <w:rPr>
      <w:rFonts w:hint="default" w:ascii="Times New Roman" w:hAnsi="Times New Roman" w:eastAsia="Times New Roman1" w:cs="Times New Roman"/>
    </w:rPr>
  </w:style>
  <w:style w:type="paragraph" w:styleId="737" w:customStyle="1">
    <w:name w:val="Абзац списку1"/>
    <w:basedOn w:val="705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38" w:customStyle="1">
    <w:name w:val="markedcontent"/>
    <w:basedOn w:val="707"/>
  </w:style>
  <w:style w:type="paragraph" w:styleId="739">
    <w:name w:val="annotation text"/>
    <w:basedOn w:val="705"/>
    <w:link w:val="740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0" w:customStyle="1">
    <w:name w:val="Текст примітки Знак"/>
    <w:basedOn w:val="707"/>
    <w:link w:val="73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41" w:customStyle="1">
    <w:name w:val="docdata"/>
    <w:basedOn w:val="70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146</cp:revision>
  <dcterms:created xsi:type="dcterms:W3CDTF">2022-11-01T12:47:00Z</dcterms:created>
  <dcterms:modified xsi:type="dcterms:W3CDTF">2024-01-14T16:58:51Z</dcterms:modified>
</cp:coreProperties>
</file>