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Закупівля програмних, програмно-апаратних засобів криптографічного захисту за кодом CPV за ЄЗС ДК 021:2015: 48730000-4 - Пакети програмного забезпечення</w:t>
      </w:r>
      <w:r>
        <w:rPr>
          <w:b w:val="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9150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Закупівля програмних, програмно-апаратних засобів криптографічного захисту за кодом CPV за ЄЗС ДК 021:2015: 48730000-4 - Пакети програмного забезпечення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3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shd w:val="clear" w:color="auto" w:fill="auto"/>
            <w:tcW w:w="562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pStyle w:val="736"/>
              <w:rPr>
                <w:b/>
                <w:bCs/>
              </w:rPr>
            </w:pPr>
            <w:r>
              <w:rPr>
                <w:b/>
                <w:bCs/>
              </w:rPr>
              <w:t xml:space="preserve">Система криптографічного захисту інформації «Шифр-X.509» версія 2 у комплектації для обслуговування до 1 тис. сертифікатів, для VPN у основному ЦОД із встановленням, налаштуванням, проведення навчання та технічною підтримкою протягом року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pStyle w:val="736"/>
              <w:rPr>
                <w:b/>
                <w:bCs/>
              </w:rPr>
            </w:pPr>
            <w:r>
              <w:rPr>
                <w:b/>
                <w:bCs/>
              </w:rPr>
              <w:t xml:space="preserve">Програмний комплекс криптографічного захисту мережевих з’єднань «Шифр-VPN», для захисту каналу зв’язку між ЦОД МВС та ЦОД 112 (Київ) із встановленням, налаштуванням, проведення навчання та технічною підтримкою протягом року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36"/>
              <w:jc w:val="center"/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pStyle w:val="736"/>
              <w:rPr>
                <w:b/>
              </w:rPr>
            </w:pPr>
            <w:r>
              <w:rPr>
                <w:b/>
                <w:bCs/>
              </w:rPr>
              <w:t xml:space="preserve">Програмний комплекс криптографічного захисту мережевих з’єднань «Шифр-VPN», для віддаленого адміністрування. Комплект включає 1 серверний шлюз і 15 клієнтів VPN (Windows, </w:t>
            </w:r>
            <w:r>
              <w:rPr>
                <w:b/>
                <w:bCs/>
              </w:rPr>
              <w:t xml:space="preserve">Linux</w:t>
            </w:r>
            <w:r>
              <w:rPr>
                <w:b/>
                <w:bCs/>
              </w:rPr>
              <w:t xml:space="preserve">) із встановленням, налаштуванням, проведення навчання та технічною підтримкою протягом року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shd w:val="clear" w:color="auto" w:fill="auto"/>
            <w:tcW w:w="562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shd w:val="clear" w:color="auto" w:fill="auto"/>
            <w:tcW w:w="5670" w:type="dxa"/>
            <w:textDirection w:val="lrTb"/>
            <w:noWrap w:val="false"/>
          </w:tcPr>
          <w:p>
            <w:pPr>
              <w:pStyle w:val="736"/>
              <w:rPr>
                <w:b/>
              </w:rPr>
            </w:pPr>
            <w:r>
              <w:rPr>
                <w:b/>
                <w:bCs/>
              </w:rPr>
              <w:t xml:space="preserve">Програмний комплекс криптографічного захисту TLS-з’єднань «Шифр-</w:t>
            </w:r>
            <w:r>
              <w:rPr>
                <w:b/>
                <w:bCs/>
              </w:rPr>
              <w:t xml:space="preserve">Web</w:t>
            </w:r>
            <w:r>
              <w:rPr>
                <w:b/>
                <w:bCs/>
              </w:rPr>
              <w:t xml:space="preserve">» із встановленням, налаштуванням, проведення навчання та технічною підтримкою протягом року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736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pStyle w:val="736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73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працівникам у зв’язку з втратою часу в дорозі, зв’язок, страхування, спецзасоби, а також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357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Вимоги до програмних, програмно-апаратних чи апаратних засобів захисту інформації, які можуть бути використані відповідно до технічного завдання Служби 112 і технічного завдання до КСЗІ ІКС 112:</w:t>
      </w:r>
      <w:r/>
    </w:p>
    <w:tbl>
      <w:tblPr>
        <w:tblStyle w:val="734"/>
        <w:tblW w:w="9351" w:type="dxa"/>
        <w:tblLayout w:type="fixed"/>
        <w:tblLook w:val="04A0" w:firstRow="1" w:lastRow="0" w:firstColumn="1" w:lastColumn="0" w:noHBand="0" w:noVBand="1"/>
      </w:tblPr>
      <w:tblGrid>
        <w:gridCol w:w="703"/>
        <w:gridCol w:w="4676"/>
        <w:gridCol w:w="3972"/>
      </w:tblGrid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Підсистема та вимоги до неї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Деталізація вимог</w:t>
            </w:r>
            <w:r/>
          </w:p>
        </w:tc>
      </w:tr>
      <w:tr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Підсистема захисту інформації, що передається між ЦОД МВС та ЦОД Служби 112 (Київ)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Забезпечує захист інформації, що передається магістральними каналами зв’язку між двома ЦОД: (один) ЦОД МВС і (один) ЦОД Служби 112 (Київ). Вважається, що у кожному ЦОД розгорнуто не менше одного шлюзу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шлюзів у вигляді образу віртуальної машини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з попередньо налаштованими операційною системною та програмним забезпеченням у віртуальній інфраструктурі ЦОД МВС і ЦОД Служби 112 (Київ)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Постачання у вигляді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середовищ віртуалізації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VMware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пропускної здатності захищеного каналу між ЦОД МВС і ЦОД Служби 112 (Київ)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горизонтального масштабування пропускної здатності за рахунок збільшення кількості шлюзів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збільшення до 4 шлюзів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1.4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сучасних криптографічних алгоритмів для забезпечення конфіденційності через симетричне шифрування та автентичності інформації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імітовставку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 національних, так і міжнародних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34.311-95+ДСТУ ГОСТ 28147:2009;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ДСТУ 7564:2014+ДСТУ 7624:2014;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ДСТУ 7564:2014+ДСТУ 8845:2019 (бажано);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SHA-256+AES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1.5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сучасних механізмів стиснення трафіку (дані, що передаються базуються на форматах XML, JSON)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LZO;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1.6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Засоби КЗІ повинні мати відповідний діючий позитивний експертний висновок (сертифікат відповідності)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Держспецзв’язку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шлюзами засобів КЗІ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 можливістю масштабування до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Підсистема захисту віддаленого адміністративного доступу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шлюзів у вигляді образу віртуальної машини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з попередньо налаштованими операційною системною та програмним забезпеченням у віртуальній інфраструктурі ЦОД МВС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Постачання у вигляді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середовищ віртуалізації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VMware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сучасних механізмів стиснення трафіку (дані, що передаються базуються на форматах XML, JSON)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LZO;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LZ4;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Інші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Агрегація трафіку з кількох мережних інтерфейсів на VPN шлюзі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3-х шлюзів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пропускної здатності між клієнтом VPN і VPN шлюзом у ЦОД МВС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800 Мбіт/с, для каналу Інтернет у 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90 Мбіт/с, для каналу Інтернет у 100 Мбіт/с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Гарантоване забезпечення якісним обслуговуванням одночасних клієнтських підключень до одного VPN шлюзу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.6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Аналізувати статус сертифікату за протоколом OCSP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2.7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Ведення списків доступу для користувачів та груп користувачів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2.8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сучасних криптографічних алгоритмів для забезпечення конфіденційності через симетричне шифрування та автентичності інформації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імітовставку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 національних, так і міжнародних стандартів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34.311-95+ДСТУ ГОСТ 28147:2009;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ДСТУ 7564:2014+ДСТУ 7624:2014;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ДСТУ 7564:2014+ДСТУ 8845:2019 (бажано);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SHA-256+AES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2.9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протоколів мережного рівня TCP чи UDP для організації захищеного з’єднання за протоколом TLS v1.2 (чи SSL VPN)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2.10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Підтримка віртуальних мереж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2.11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Підтримка маршрутизації пакетів на рівні L3, що дозволяє відмовитись від додаткових маршрутизаторів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2.12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Віддалене управління VPN шлюзами через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-інтерфейс, в тому числі і управлінням клієнтськими VPN підключеннями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2.13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Віддалений централізований моніторинг навантаження за SNMP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2.14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Автоматизація реєстрації користувачів – клієнтів VPN для доступу до мережі на VPN шлюзі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2.15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Створення каналу між клієнтською робочою станцією та VPN шлюзом, без необхідності додаткових налаштувань з боку мережевих екранів та марш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рутизаторів. Користувачі, що будуть використовувати клієнти VPN будуть знаходитись у різних мережах, з різними специфічними налаштуваннями, слід забезпечити їм можливість підключення до Служби 112 МВС з мінімальним втручанням з боку адміністраторів ЦОД МВС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2.16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роботи через HTTP-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proxy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2.17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Клієнтське програмне забезпечення VPN повинно мати зручний користувацький інтерфейс і підтримувати наступні апаратні платформи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Microsoft Windows x86, x86-64;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Linux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x86-64;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2.18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Засоби КЗІ повинні мати відповідний діючий позитивний експертний висновок (сертифікат відповідності)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Держспецзв’язку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шлюзами засобів КЗІ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клієнтських програмних засобів КЗІ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 Підсистема захисту інформації між користувачами Служби 112 МВС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(без використання VPN клієнта)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шлюзів у вигляді образу віртуальної машини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з попередньо налаштованими операційною системною та програмним забезпеченням у віртуальній інфраструктурі ЦОД МВС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Постачання у вигляді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середовищ віртуалізації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VMware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Завдання на захист конфіденційності і автентичності трафіку між ЦОД МВС та користувачами Служби 112 МВС покладається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-сервери, для побудови HTTPS з’єднання 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 з використанням TLS v1.2+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горизонтального масштабування пропускної здатності за рахунок збільшення кількості серверів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 обмежень на кількість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пропускної здатності захищеного каналу між користувачами та Служби 112 МВС (за умови наявності якісного Інтернет з’єднання між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-браузером користувача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-серверами Служби 112 МВС)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100 Мбіт/с між користувачем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-серверами Служби 112 МВС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роботи через HTTP-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proxy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Засоби КЗІ, які використовуються для побудови TLS v1.2 на боці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web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-серверів Служби 112 МВС повинні мати відповідний діючий позитивний експертний висновок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Держспецзв’язку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України.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3.7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засобами КЗІ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 можливістю масштабування до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 Підсистема генерації ключів та відповідних сертифікатів відкритих ключів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VPN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користувачів Системи 112 МВС на основі стандартів X.509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(технологічний надавач електронних довірчих послуг НЕДП)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Реалізація у вигляді образу віртуальної машини з попередньо налаштованими операційною системною та програмним забезпеченням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у віртуальній інфраструктурі ЦОД МВС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Постачання у вигляді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середовищ віртуалізації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VMware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Розгортання власного технологічного НЕДП для управляння сертифікатами відкритих ключів, які надаються користувачам для забезпечення віддаленого підключення при передачі відкритими каналами між клієнтом і Служби 112 МВС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ефективного управління активними сертифікатами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1000 шт.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сучасних криптографічних алгоритмів ЕП, як національних, так і міжнародних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ДСТУ 4145-2002+ГОСТ 34.311-95+ДСТУ ГОСТ 28147:2009+ISO/IEC 15946-3:2006.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ДСТУ 4145-2002+ДСТУ 7564:2014+ДСТУ 7624:2014+ISO/IEC 15946-3:2006.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ECDSA+SHA-256+AES+ISO/IEC 15946-3:2006.</w:t>
            </w:r>
            <w:r/>
          </w:p>
          <w:p>
            <w:pPr>
              <w:numPr>
                <w:ilvl w:val="0"/>
                <w:numId w:val="39"/>
              </w:numPr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RSA+SHA-256+AES+ISO/IEC 15946-3:2006.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 використовувати інфраструктурне програмне забезпечення з відкрити вихідним кодом та операційні системи сімейства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Linux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для зменшення вартості володіння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протоколу OCSP для визначення статусу сертифікату користувачів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протоколу TSP для отримання позначок часу користувачами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4.8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функціонувати технологічного НЕДП у одному ЦОД МВС (з подальшим розгортанням, у майбутньому, у резервному ЦОД Служби 112)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4.9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Реалізовувати механізми автоматичного формування сертифікатів відкритих ключів за PKCS#10 запитом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4.10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додавання власних розширень до PKCS#10 та до сертифікату відкритих ключів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4.11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Виконувати пошук сертифікатів і запитів PKCS#10, PKCS#7 за власними розширеннями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4.12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Підтримувати роботу віддалених пунктів реєстрації (ВПР) клієнтів, як у централізованому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4.13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ПТК технологічного НЕДП повинен відповідати основним вимогам, які висуваються до ПТК КНЕДП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4.14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Засоби КЗІ повинні мати відповідний діючий позитивний експертний висновок (сертифікат відповідності)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Держспецзв’язку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Обов’язково</w:t>
            </w:r>
            <w:r/>
          </w:p>
        </w:tc>
      </w:tr>
      <w:tr>
        <w:trPr>
          <w:trHeight w:val="225"/>
        </w:trPr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4.15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комплектів ПТК НЕДП (один екземпляр активний)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ЦОД МВС</w:t>
            </w:r>
            <w:r/>
          </w:p>
        </w:tc>
      </w:tr>
      <w:tr>
        <w:trPr/>
        <w:tc>
          <w:tcPr>
            <w:tcW w:w="70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46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 сертифікатів, що видаються НЕДП (не враховуючи сертифікати адміністраторів НЕДП)</w:t>
            </w:r>
            <w:r/>
          </w:p>
        </w:tc>
        <w:tc>
          <w:tcPr>
            <w:tcW w:w="3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1000 шт.</w:t>
            </w:r>
            <w:r/>
          </w:p>
        </w:tc>
      </w:tr>
    </w:tbl>
    <w:p>
      <w:pPr>
        <w:ind w:firstLine="425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 Вимоги до підтримки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постачання програмних, програмно-апаратних чи апаратних засобів захисту інформації, які можуть бути використані відповідно до технічного завдання Служби 112 і технічного завдання до КСЗІ ІКС 112, Виконавець повинен передбачити такі послуги: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 Послуги з встановлення та налаштування СПЗ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Виконавець повинен здійснити постачання та налаштування програмних, програмно-апаратних чи апаратних засобів захисту інформації у відповідності до розроблених політик та наявної документації в Замовника.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 Проведення навчання для обслуговуючого персоналу по кожному ПЗ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Навчання по для </w:t>
      </w:r>
      <w:r/>
    </w:p>
    <w:p>
      <w:pPr>
        <w:pStyle w:val="732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«Підсистеми захисту інформації, що передається між ЦОД МВС та ЦОД Служби 112 (Київ)»;</w:t>
      </w:r>
      <w:r/>
    </w:p>
    <w:p>
      <w:pPr>
        <w:pStyle w:val="732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Підсистема захисту віддаленого адміністративного доступу;</w:t>
      </w:r>
      <w:r/>
    </w:p>
    <w:p>
      <w:pPr>
        <w:pStyle w:val="732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Підсистема захисту інформації між користувачами Служби 112 МВС</w:t>
      </w:r>
      <w:r/>
    </w:p>
    <w:p>
      <w:pPr>
        <w:pStyle w:val="732"/>
        <w:numPr>
          <w:ilvl w:val="0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Підсистема генерації ключів та відповідних сертифікатів відкритих ключів VPN користувачів Системи 112 МВС на основі стандартів X.509</w:t>
      </w:r>
      <w:r/>
    </w:p>
    <w:p>
      <w:pPr>
        <w:pStyle w:val="732"/>
        <w:ind w:left="0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</w:r>
      <w:r/>
    </w:p>
    <w:p>
      <w:pPr>
        <w:pStyle w:val="732"/>
        <w:numPr>
          <w:ilvl w:val="1"/>
          <w:numId w:val="40"/>
        </w:numPr>
        <w:ind w:left="0"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Налаштування обладнання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розгортання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програмного забезпечення, Виробник має надати рекомендації щодо налаштування обладнання замовника (серверного обладнання, мережевого обладнання, пристроїв захисту інформації, тощо) для коректного та документованого функціонування програмного забезпечення.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Супроводити роботи з налаштування обладнання замов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ника (серверного обладнання, мережевого обладнання, пристроїв захисту інформації, тощо) для коректного та документованого функціонування програмного забезпечення, здійснити тестування коректності та документованого функціонування програмного забезпечення.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Під тестування функціонування програмного забезпечення мається на увазі тестування серверних компонентів (серверного програмного забезпечення), клієнтських компонентів (клієнтського програмного забезпечення), підключень користувачів.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4.4 Підтримка від виробника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Протягом дії ліцензії виробник має забезпечувати:</w:t>
      </w:r>
      <w:r/>
    </w:p>
    <w:p>
      <w:pPr>
        <w:pStyle w:val="732"/>
        <w:numPr>
          <w:ilvl w:val="0"/>
          <w:numId w:val="41"/>
        </w:numPr>
        <w:contextualSpacing w:val="0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сервісну підтримку з режимом роботи 8х5 (робочі дні, з 10:00 до 18:00) з питань роботи програмного забезпечення;</w:t>
      </w:r>
      <w:r/>
    </w:p>
    <w:p>
      <w:pPr>
        <w:pStyle w:val="732"/>
        <w:numPr>
          <w:ilvl w:val="0"/>
          <w:numId w:val="41"/>
        </w:numPr>
        <w:contextualSpacing w:val="0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надавати можливість для завантаження нових версій програмного забезпечення, оновлень з безпеки, вразливостей і виправлень виявлених помилок, розширення функціональності ПЗ;</w:t>
      </w:r>
      <w:r/>
    </w:p>
    <w:p>
      <w:pPr>
        <w:pStyle w:val="736"/>
        <w:ind w:firstLine="567"/>
        <w:jc w:val="both"/>
        <w:spacing w:after="0" w:line="240" w:lineRule="auto"/>
      </w:pPr>
      <w:r>
        <w:t xml:space="preserve">для вирішення проблем під час експлуатації програмного забезпечення Виробник повинен надавати електронний сервіс (веб-портал, спеціальну </w:t>
      </w:r>
      <w:r>
        <w:t xml:space="preserve">email</w:t>
      </w:r>
      <w:r>
        <w:t xml:space="preserve">-адресу, мобільний додаток т</w:t>
      </w:r>
      <w:r>
        <w:t xml:space="preserve">ощо) для створення заявок від Замовника або його представників з автоматичною реєстрацією таких заявок в системі підтримки Виробника. Робота з таким сервісом та комунікація з представниками Виробника повинна бути доступна англійською або українською мовою.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numPr>
          <w:ilvl w:val="0"/>
          <w:numId w:val="38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3"/>
          <w:szCs w:val="23"/>
          <w:lang w:eastAsia="zh-CN"/>
        </w:rPr>
      </w:pPr>
      <w:r>
        <w:rPr>
          <w:rFonts w:ascii="Times New Roman" w:hAnsi="Times New Roman" w:eastAsia="Calibri" w:cs="Times New Roman"/>
          <w:bCs/>
          <w:sz w:val="23"/>
          <w:szCs w:val="23"/>
          <w:lang w:eastAsia="zh-CN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розмір бюджетного призначення визначено Законом України «Про Державний бюджет України на 2024 рік» за КПКВК 1001050 «Забезпечення діяльності органів, установ та закладів Міністерства внутрішніх справ України,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підготовка кадрів закладами вищої освіти із спеціальними умовами навчання» відповідно до бюджетного запиту на 2024 рік.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1 491 164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чотириста дев’яносто одна тисяча сто шістдесят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  <w:b/>
        <w:sz w:val="24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suff w:val="tab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  <w:rPr>
        <w:rFonts w:cs="Times New Roman"/>
        <w:b/>
        <w:iCs/>
        <w:sz w:val="26"/>
        <w:szCs w:val="26"/>
      </w:r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  <w:rPr>
        <w:rFonts w:cs="Times New Roman"/>
      </w:r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  <w:rPr>
        <w:rFonts w:cs="Times New Roman"/>
      </w:r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  <w:rPr>
        <w:rFonts w:cs="Times New Roman"/>
      </w:r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  <w:rPr>
        <w:rFonts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  <w:rPr>
        <w:rFonts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  <w:rPr>
        <w:rFonts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  <w:rPr>
        <w:rFonts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4"/>
  </w:num>
  <w:num w:numId="2">
    <w:abstractNumId w:val="22"/>
  </w:num>
  <w:num w:numId="3">
    <w:abstractNumId w:val="10"/>
  </w:num>
  <w:num w:numId="4">
    <w:abstractNumId w:val="29"/>
  </w:num>
  <w:num w:numId="5">
    <w:abstractNumId w:val="9"/>
  </w:num>
  <w:num w:numId="6">
    <w:abstractNumId w:val="35"/>
  </w:num>
  <w:num w:numId="7">
    <w:abstractNumId w:val="14"/>
  </w:num>
  <w:num w:numId="8">
    <w:abstractNumId w:val="37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6"/>
  </w:num>
  <w:num w:numId="17">
    <w:abstractNumId w:val="2"/>
  </w:num>
  <w:num w:numId="18">
    <w:abstractNumId w:val="39"/>
  </w:num>
  <w:num w:numId="19">
    <w:abstractNumId w:val="3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4"/>
  </w:num>
  <w:num w:numId="26">
    <w:abstractNumId w:val="27"/>
  </w:num>
  <w:num w:numId="27">
    <w:abstractNumId w:val="32"/>
  </w:num>
  <w:num w:numId="28">
    <w:abstractNumId w:val="25"/>
  </w:num>
  <w:num w:numId="29">
    <w:abstractNumId w:val="33"/>
  </w:num>
  <w:num w:numId="30">
    <w:abstractNumId w:val="21"/>
  </w:num>
  <w:num w:numId="31">
    <w:abstractNumId w:val="5"/>
  </w:num>
  <w:num w:numId="32">
    <w:abstractNumId w:val="23"/>
  </w:num>
  <w:num w:numId="33">
    <w:abstractNumId w:val="20"/>
  </w:num>
  <w:num w:numId="34">
    <w:abstractNumId w:val="17"/>
  </w:num>
  <w:num w:numId="35">
    <w:abstractNumId w:val="38"/>
  </w:num>
  <w:num w:numId="36">
    <w:abstractNumId w:val="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5"/>
    <w:next w:val="72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9"/>
    <w:link w:val="72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9"/>
    <w:link w:val="72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9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5"/>
    <w:next w:val="72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5"/>
    <w:next w:val="72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5"/>
    <w:next w:val="72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5"/>
    <w:next w:val="72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5"/>
    <w:next w:val="72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5"/>
    <w:next w:val="72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9"/>
    <w:link w:val="33"/>
    <w:uiPriority w:val="10"/>
    <w:rPr>
      <w:sz w:val="48"/>
      <w:szCs w:val="48"/>
    </w:rPr>
  </w:style>
  <w:style w:type="paragraph" w:styleId="35">
    <w:name w:val="Subtitle"/>
    <w:basedOn w:val="725"/>
    <w:next w:val="72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9"/>
    <w:link w:val="35"/>
    <w:uiPriority w:val="11"/>
    <w:rPr>
      <w:sz w:val="24"/>
      <w:szCs w:val="24"/>
    </w:rPr>
  </w:style>
  <w:style w:type="paragraph" w:styleId="37">
    <w:name w:val="Quote"/>
    <w:basedOn w:val="725"/>
    <w:next w:val="72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5"/>
    <w:next w:val="72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9"/>
    <w:link w:val="41"/>
    <w:uiPriority w:val="99"/>
  </w:style>
  <w:style w:type="character" w:styleId="44">
    <w:name w:val="Footer Char"/>
    <w:basedOn w:val="729"/>
    <w:link w:val="738"/>
    <w:uiPriority w:val="99"/>
  </w:style>
  <w:style w:type="paragraph" w:styleId="45">
    <w:name w:val="Caption"/>
    <w:basedOn w:val="725"/>
    <w:next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8"/>
    <w:uiPriority w:val="99"/>
  </w:style>
  <w:style w:type="table" w:styleId="48">
    <w:name w:val="Table Grid Light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9"/>
    <w:uiPriority w:val="99"/>
    <w:unhideWhenUsed/>
    <w:rPr>
      <w:vertAlign w:val="superscript"/>
    </w:rPr>
  </w:style>
  <w:style w:type="paragraph" w:styleId="177">
    <w:name w:val="endnote text"/>
    <w:basedOn w:val="72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9"/>
    <w:uiPriority w:val="99"/>
    <w:semiHidden/>
    <w:unhideWhenUsed/>
    <w:rPr>
      <w:vertAlign w:val="superscript"/>
    </w:rPr>
  </w:style>
  <w:style w:type="paragraph" w:styleId="180">
    <w:name w:val="toc 1"/>
    <w:basedOn w:val="725"/>
    <w:next w:val="72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5"/>
    <w:next w:val="72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5"/>
    <w:next w:val="72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5"/>
    <w:next w:val="72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5"/>
    <w:next w:val="72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5"/>
    <w:next w:val="72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5"/>
    <w:next w:val="72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5"/>
    <w:next w:val="72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5"/>
    <w:next w:val="72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5"/>
    <w:next w:val="725"/>
    <w:uiPriority w:val="99"/>
    <w:unhideWhenUsed/>
    <w:pPr>
      <w:spacing w:after="0" w:afterAutospacing="0"/>
    </w:pPr>
  </w:style>
  <w:style w:type="paragraph" w:styleId="725" w:default="1">
    <w:name w:val="Normal"/>
    <w:qFormat/>
    <w:rPr>
      <w:lang w:val="uk-UA"/>
    </w:rPr>
  </w:style>
  <w:style w:type="paragraph" w:styleId="726">
    <w:name w:val="Heading 2"/>
    <w:basedOn w:val="725"/>
    <w:link w:val="74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7">
    <w:name w:val="Heading 3"/>
    <w:basedOn w:val="725"/>
    <w:next w:val="725"/>
    <w:link w:val="76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8">
    <w:name w:val="Heading 4"/>
    <w:basedOn w:val="725"/>
    <w:next w:val="725"/>
    <w:link w:val="76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>
    <w:name w:val="List Paragraph"/>
    <w:basedOn w:val="725"/>
    <w:link w:val="733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3" w:customStyle="1">
    <w:name w:val="Абзац списку Знак"/>
    <w:link w:val="732"/>
    <w:uiPriority w:val="99"/>
    <w:qFormat/>
    <w:rPr>
      <w:rFonts w:ascii="Calibri" w:hAnsi="Calibri" w:eastAsia="Calibri" w:cs="Calibri"/>
      <w:lang w:eastAsia="zh-CN"/>
    </w:rPr>
  </w:style>
  <w:style w:type="table" w:styleId="734">
    <w:name w:val="Table Grid"/>
    <w:basedOn w:val="7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5" w:customStyle="1">
    <w:name w:val="Сетка таблицы2"/>
    <w:basedOn w:val="730"/>
    <w:next w:val="73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Normal (Web)"/>
    <w:basedOn w:val="725"/>
    <w:link w:val="743"/>
    <w:unhideWhenUsed/>
    <w:qFormat/>
    <w:rPr>
      <w:rFonts w:ascii="Times New Roman" w:hAnsi="Times New Roman" w:cs="Times New Roman"/>
      <w:sz w:val="24"/>
      <w:szCs w:val="24"/>
    </w:rPr>
  </w:style>
  <w:style w:type="table" w:styleId="737" w:customStyle="1">
    <w:name w:val="Сетка таблицы1"/>
    <w:basedOn w:val="730"/>
    <w:next w:val="73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Footer"/>
    <w:basedOn w:val="725"/>
    <w:link w:val="73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9" w:customStyle="1">
    <w:name w:val="Нижній колонтитул Знак"/>
    <w:basedOn w:val="729"/>
    <w:link w:val="738"/>
    <w:uiPriority w:val="99"/>
    <w:rPr>
      <w:rFonts w:ascii="Calibri" w:hAnsi="Calibri" w:eastAsia="Calibri" w:cs="Calibri"/>
      <w:lang w:eastAsia="zh-CN"/>
    </w:rPr>
  </w:style>
  <w:style w:type="paragraph" w:styleId="74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1">
    <w:name w:val="Hyperlink"/>
    <w:basedOn w:val="729"/>
    <w:uiPriority w:val="99"/>
    <w:unhideWhenUsed/>
    <w:rPr>
      <w:color w:val="0563c1" w:themeColor="hyperlink"/>
      <w:u w:val="single"/>
    </w:rPr>
  </w:style>
  <w:style w:type="character" w:styleId="742" w:customStyle="1">
    <w:name w:val="xfm_93972720"/>
    <w:basedOn w:val="729"/>
  </w:style>
  <w:style w:type="character" w:styleId="743" w:customStyle="1">
    <w:name w:val="Звичайний (веб) Знак"/>
    <w:link w:val="736"/>
    <w:qFormat/>
    <w:rPr>
      <w:rFonts w:ascii="Times New Roman" w:hAnsi="Times New Roman" w:cs="Times New Roman"/>
      <w:sz w:val="24"/>
      <w:szCs w:val="24"/>
      <w:lang w:val="uk-UA"/>
    </w:rPr>
  </w:style>
  <w:style w:type="paragraph" w:styleId="744">
    <w:name w:val="Body Text 2"/>
    <w:basedOn w:val="725"/>
    <w:link w:val="74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5" w:customStyle="1">
    <w:name w:val="Основний текст 2 Знак"/>
    <w:basedOn w:val="729"/>
    <w:link w:val="74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7" w:customStyle="1">
    <w:name w:val="Заголовок 2 Знак"/>
    <w:basedOn w:val="729"/>
    <w:link w:val="72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8">
    <w:name w:val="No Spacing"/>
    <w:link w:val="74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9" w:customStyle="1">
    <w:name w:val="Без інтервалів Знак"/>
    <w:basedOn w:val="729"/>
    <w:link w:val="748"/>
    <w:uiPriority w:val="1"/>
    <w:rPr>
      <w:rFonts w:ascii="Calibri" w:hAnsi="Calibri" w:eastAsia="Calibri" w:cs="Times New Roman"/>
      <w:lang w:val="uk-UA"/>
    </w:rPr>
  </w:style>
  <w:style w:type="character" w:styleId="750" w:customStyle="1">
    <w:name w:val="Другое_"/>
    <w:basedOn w:val="729"/>
    <w:link w:val="751"/>
    <w:rPr>
      <w:rFonts w:ascii="Calibri" w:hAnsi="Calibri" w:eastAsia="Calibri" w:cs="Calibri"/>
      <w:sz w:val="20"/>
      <w:szCs w:val="20"/>
    </w:rPr>
  </w:style>
  <w:style w:type="paragraph" w:styleId="751" w:customStyle="1">
    <w:name w:val="Другое"/>
    <w:basedOn w:val="725"/>
    <w:link w:val="75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3" w:customStyle="1">
    <w:name w:val="Основной текст (2)_"/>
    <w:basedOn w:val="729"/>
    <w:link w:val="754"/>
    <w:rPr>
      <w:rFonts w:eastAsia="Times New Roman" w:cs="Times New Roman"/>
      <w:shd w:val="clear" w:color="auto" w:fill="ffffff"/>
    </w:rPr>
  </w:style>
  <w:style w:type="paragraph" w:styleId="754" w:customStyle="1">
    <w:name w:val="Основной текст (2)"/>
    <w:basedOn w:val="725"/>
    <w:link w:val="75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5" w:customStyle="1">
    <w:name w:val="Текст у виносці Знак"/>
    <w:basedOn w:val="729"/>
    <w:link w:val="75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6">
    <w:name w:val="Balloon Text"/>
    <w:basedOn w:val="725"/>
    <w:link w:val="75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7" w:customStyle="1">
    <w:name w:val="Текст у виносці Знак1"/>
    <w:basedOn w:val="72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8" w:customStyle="1">
    <w:name w:val="T23"/>
    <w:rPr>
      <w:rFonts w:hint="default" w:ascii="Times New Roman" w:hAnsi="Times New Roman" w:eastAsia="Times New Roman1" w:cs="Times New Roman"/>
    </w:rPr>
  </w:style>
  <w:style w:type="paragraph" w:styleId="759" w:customStyle="1">
    <w:name w:val="Абзац списку1"/>
    <w:basedOn w:val="72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0" w:customStyle="1">
    <w:name w:val="markedcontent"/>
    <w:basedOn w:val="729"/>
  </w:style>
  <w:style w:type="paragraph" w:styleId="761">
    <w:name w:val="annotation text"/>
    <w:basedOn w:val="725"/>
    <w:link w:val="76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2" w:customStyle="1">
    <w:name w:val="Текст примітки Знак"/>
    <w:basedOn w:val="729"/>
    <w:link w:val="76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3" w:customStyle="1">
    <w:name w:val="docdata"/>
    <w:basedOn w:val="729"/>
  </w:style>
  <w:style w:type="character" w:styleId="764" w:customStyle="1">
    <w:name w:val="Заголовок 3 Знак"/>
    <w:basedOn w:val="729"/>
    <w:link w:val="72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5" w:customStyle="1">
    <w:name w:val="Заголовок 4 Знак"/>
    <w:basedOn w:val="729"/>
    <w:link w:val="72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6" w:customStyle="1">
    <w:name w:val="name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7" w:customStyle="1">
    <w:name w:val="cont-spec"/>
    <w:basedOn w:val="7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8">
    <w:name w:val="Strong"/>
    <w:basedOn w:val="72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168</cp:revision>
  <dcterms:created xsi:type="dcterms:W3CDTF">2022-11-01T12:47:00Z</dcterms:created>
  <dcterms:modified xsi:type="dcterms:W3CDTF">2024-03-18T09:42:41Z</dcterms:modified>
</cp:coreProperties>
</file>