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автоматизованих робочих місць за кодом CPV за ЄЗС ДК 021:2015: 30210000-4 Машини для обробки даних (апаратна частина)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8920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автоматизованих робочих місць за кодом CPV за ЄЗС ДК 021:2015: 30210000-4 Машини для обробки даних (апаратна частина)</w:t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8"/>
              <w:jc w:val="both"/>
              <w:rPr>
                <w:rFonts w:eastAsia="Times New Roman"/>
                <w:b/>
              </w:rPr>
            </w:pPr>
            <w:r>
              <w:rPr>
                <w:rStyle w:val="742"/>
                <w:rFonts w:eastAsia="Times New Roman"/>
                <w:b/>
                <w:bCs/>
                <w:shd w:val="clear" w:color="auto" w:fill="ffffff"/>
              </w:rPr>
              <w:t xml:space="preserve">Автоматизоване робоче місце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718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18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718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14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718"/>
        <w:ind w:firstLine="567"/>
        <w:jc w:val="center"/>
        <w:spacing w:after="0" w:line="240" w:lineRule="auto"/>
        <w:rPr>
          <w:rStyle w:val="740"/>
          <w:b/>
          <w:lang w:eastAsia="ru-RU"/>
        </w:rPr>
      </w:pPr>
      <w:r>
        <w:rPr>
          <w:rStyle w:val="740"/>
          <w:b/>
          <w:bCs/>
          <w:lang w:eastAsia="ru-RU"/>
        </w:rPr>
        <w:t xml:space="preserve">СПЕЦИФІКАЦІЯ</w:t>
      </w:r>
      <w:r/>
    </w:p>
    <w:tbl>
      <w:tblPr>
        <w:tblW w:w="1033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8"/>
        <w:gridCol w:w="2410"/>
        <w:gridCol w:w="1571"/>
        <w:gridCol w:w="4933"/>
        <w:gridCol w:w="851"/>
      </w:tblGrid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 закупівлі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Технічні характеристики предмету закупівлі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К-сть</w:t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Автоматизоване робоче місце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Системний блок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</w:t>
            </w:r>
            <w:r/>
          </w:p>
        </w:tc>
      </w:tr>
      <w:tr>
        <w:trPr>
          <w:trHeight w:val="15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фізичних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ніж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потоків: не менше ніж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Обсяг кеш-пам’яті: не менше 18 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Базова тактова частота процесора: не менше 2,50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Максимальна тактова частота у режимі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Turbo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Boost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не менше 4,40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GHz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Оперативна пам’ять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гірше 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DDR4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MHz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двохканальний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 роботи)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Накопичувач 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Об'єм SSD - не менше ніж 1000GB m.2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PCIex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Графічний адаптер: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Інтегрований, не гірше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UHD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Graphics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26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вводу-виводу: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 вводу\виводу (не менше, без застосування зовнішніх перехідників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розгалуджувачів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VGA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DVI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HDMI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порт RJ-45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порти USB на задній панелі, з них не менше ніж 2 порти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4 порти USB на передній панелі, з них не менше ніж 2 порти USB 3.2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-A та 1 порт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Type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картрідер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3 Аудіо порти на задній панелі, 2 Аудіо порти на передній панелі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Корпус та блок живлення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живлення: потужністю не менше 500 Вт, який забезпечує надійну роботу усіх компонентів системного блоку, вентилятор блоку живлення не менше 120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Форм-фактор корпусу: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Розташування блоку живлення у нижній частині корпусу;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на передній панелі корпусу не менше ніж 1-го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3,5”;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не менше ніж 1-го попередньо встановленого вентилятора типорозміру 120 мм на передній панелі корпусу, та не менше ніж 1-го попередньо встановленого вентилятора типорозміру 120 мм на задній панелі корпусу.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Матеріал корпусу: сталь. Товщина стінок не менше ніж 0,6 мм;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Розміри, мм: не більше ніж 300 х 170 х 355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Наявність системи безпеки у вигляді датчика відкриття корпусу.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1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комплекті клавіатура та миша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підключення: бездротовий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Інтерфейс комунікації з ПК: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радіоінтерфейс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клавіатури: не менше ніж 104, з окремим блоком для набору цифр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Технологія миші: оптична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Кількість кнопок миші щонайменше 3: ліва, права, колесо-кнопка для скролінг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Операційна система: Microsoft® Windows® 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предінстальована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технологію ОЕМ активації ОА 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Активація проводиться замовником, ключ активації повинен бути вшитим у BIOS материнської плати системного блоку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Гарантія,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pStyle w:val="718"/>
        <w:ind w:firstLine="567"/>
        <w:jc w:val="center"/>
        <w:spacing w:after="0" w:line="240" w:lineRule="auto"/>
        <w:rPr>
          <w:rStyle w:val="740"/>
          <w:b/>
          <w:bCs/>
          <w:lang w:eastAsia="ru-RU"/>
        </w:rPr>
      </w:pPr>
      <w:r>
        <w:rPr>
          <w:b/>
          <w:bCs/>
          <w:lang w:eastAsia="ru-RU"/>
        </w:rPr>
      </w:r>
      <w:r/>
    </w:p>
    <w:p>
      <w:pPr>
        <w:contextualSpacing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Вимоги до предмету закупівлі:</w:t>
      </w:r>
      <w:r/>
    </w:p>
    <w:p>
      <w:pPr>
        <w:pStyle w:val="714"/>
        <w:numPr>
          <w:ilvl w:val="0"/>
          <w:numId w:val="3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системні</w:t>
      </w:r>
      <w:r>
        <w:rPr>
          <w:rFonts w:ascii="Times New Roman" w:hAnsi="Times New Roman" w:cs="Times New Roman"/>
          <w:sz w:val="24"/>
          <w:szCs w:val="24"/>
        </w:rPr>
        <w:t xml:space="preserve"> блоки)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714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регламенту з </w:t>
      </w:r>
      <w:r>
        <w:rPr>
          <w:rFonts w:ascii="Times New Roman" w:hAnsi="Times New Roman" w:cs="Times New Roman"/>
          <w:sz w:val="24"/>
          <w:szCs w:val="24"/>
        </w:rPr>
        <w:t xml:space="preserve">електромагнітної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сумісності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№ 1077;</w:t>
      </w:r>
      <w:r/>
    </w:p>
    <w:p>
      <w:pPr>
        <w:pStyle w:val="714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</w:rPr>
        <w:t xml:space="preserve">низьковольтного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електричного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Кабінету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Міністрів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16 </w:t>
      </w:r>
      <w:r>
        <w:rPr>
          <w:rFonts w:ascii="Times New Roman" w:hAnsi="Times New Roman" w:cs="Times New Roman"/>
          <w:sz w:val="24"/>
          <w:szCs w:val="24"/>
        </w:rPr>
        <w:t xml:space="preserve">грудня</w:t>
      </w:r>
      <w:r>
        <w:rPr>
          <w:rFonts w:ascii="Times New Roman" w:hAnsi="Times New Roman" w:cs="Times New Roman"/>
          <w:sz w:val="24"/>
          <w:szCs w:val="24"/>
        </w:rPr>
        <w:t xml:space="preserve"> 2015 р. № 1067;</w:t>
      </w:r>
      <w:r/>
    </w:p>
    <w:p>
      <w:pPr>
        <w:pStyle w:val="714"/>
        <w:numPr>
          <w:ilvl w:val="0"/>
          <w:numId w:val="33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регламенту </w:t>
      </w:r>
      <w:r>
        <w:rPr>
          <w:rFonts w:ascii="Times New Roman" w:hAnsi="Times New Roman" w:cs="Times New Roman"/>
          <w:sz w:val="24"/>
          <w:szCs w:val="24"/>
        </w:rPr>
        <w:t xml:space="preserve">обмеження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небезпечних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речовин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електричному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електронному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обладнанні</w:t>
      </w:r>
      <w:r>
        <w:rPr>
          <w:rFonts w:ascii="Times New Roman" w:hAnsi="Times New Roman" w:cs="Times New Roman"/>
          <w:sz w:val="24"/>
          <w:szCs w:val="24"/>
        </w:rPr>
        <w:t xml:space="preserve"> (ПКМУ №139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10.03.2017);</w:t>
      </w:r>
      <w:r/>
    </w:p>
    <w:p>
      <w:pPr>
        <w:pStyle w:val="714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управління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якістю</w:t>
      </w:r>
      <w:r>
        <w:rPr>
          <w:rFonts w:ascii="Times New Roman" w:hAnsi="Times New Roman" w:cs="Times New Roman"/>
          <w:sz w:val="24"/>
          <w:szCs w:val="24"/>
        </w:rPr>
        <w:t xml:space="preserve"> ДСТУ ISO 9001:2018; </w:t>
      </w:r>
      <w:r/>
    </w:p>
    <w:p>
      <w:pPr>
        <w:pStyle w:val="714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</w:rPr>
        <w:t xml:space="preserve"> на систему </w:t>
      </w:r>
      <w:r>
        <w:rPr>
          <w:rFonts w:ascii="Times New Roman" w:hAnsi="Times New Roman" w:cs="Times New Roman"/>
          <w:sz w:val="24"/>
          <w:szCs w:val="24"/>
        </w:rPr>
        <w:t xml:space="preserve">екологічного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керування</w:t>
      </w:r>
      <w:r>
        <w:rPr>
          <w:rFonts w:ascii="Times New Roman" w:hAnsi="Times New Roman" w:cs="Times New Roman"/>
          <w:sz w:val="24"/>
          <w:szCs w:val="24"/>
        </w:rPr>
        <w:t xml:space="preserve"> ДСТУ ISO 14001:2015; </w:t>
      </w:r>
      <w:r/>
    </w:p>
    <w:p>
      <w:pPr>
        <w:pStyle w:val="714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</w:rPr>
        <w:t xml:space="preserve">інформаційної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</w:rPr>
        <w:t xml:space="preserve"> ISO/IEC 27001:2022;</w:t>
      </w:r>
      <w:r/>
    </w:p>
    <w:p>
      <w:pPr>
        <w:pStyle w:val="714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Сертифікату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системи</w:t>
      </w:r>
      <w:r>
        <w:rPr>
          <w:rFonts w:ascii="Times New Roman" w:hAnsi="Times New Roman" w:cs="Times New Roman"/>
          <w:sz w:val="24"/>
          <w:szCs w:val="24"/>
        </w:rPr>
        <w:t xml:space="preserve"> менеджменту </w:t>
      </w:r>
      <w:r>
        <w:rPr>
          <w:rFonts w:ascii="Times New Roman" w:hAnsi="Times New Roman" w:cs="Times New Roman"/>
          <w:sz w:val="24"/>
          <w:szCs w:val="24"/>
        </w:rPr>
        <w:t xml:space="preserve">охорони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здоров'я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безпеки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праці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Вимоги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настанови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застосовування</w:t>
      </w:r>
      <w:r>
        <w:rPr>
          <w:rFonts w:ascii="Times New Roman" w:hAnsi="Times New Roman" w:cs="Times New Roman"/>
          <w:sz w:val="24"/>
          <w:szCs w:val="24"/>
        </w:rPr>
        <w:t xml:space="preserve"> ISO 45001:2018;</w:t>
      </w:r>
      <w:r/>
    </w:p>
    <w:p>
      <w:pPr>
        <w:pStyle w:val="714"/>
        <w:numPr>
          <w:ilvl w:val="0"/>
          <w:numId w:val="33"/>
        </w:numPr>
        <w:ind w:left="0"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чинного </w:t>
      </w:r>
      <w:r>
        <w:rPr>
          <w:rFonts w:ascii="Times New Roman" w:hAnsi="Times New Roman" w:cs="Times New Roman"/>
          <w:sz w:val="24"/>
          <w:szCs w:val="24"/>
        </w:rPr>
        <w:t xml:space="preserve">висновку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санітарно-епідеміологічної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експертизи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714"/>
        <w:numPr>
          <w:ilvl w:val="0"/>
          <w:numId w:val="3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не є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входить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системні</w:t>
      </w:r>
      <w:r>
        <w:rPr>
          <w:rFonts w:ascii="Times New Roman" w:hAnsi="Times New Roman" w:cs="Times New Roman"/>
          <w:sz w:val="24"/>
          <w:szCs w:val="24"/>
        </w:rPr>
        <w:t xml:space="preserve"> блоки), то </w:t>
      </w:r>
      <w:r>
        <w:rPr>
          <w:rFonts w:ascii="Times New Roman" w:hAnsi="Times New Roman" w:cs="Times New Roman"/>
          <w:sz w:val="24"/>
          <w:szCs w:val="24"/>
        </w:rPr>
        <w:t xml:space="preserve">він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дистриб'ютора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представницькі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партнерські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дилерські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агентські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дистриб’юторські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тощо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повноваження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</w:rPr>
        <w:t xml:space="preserve">. Лист повинен бути </w:t>
      </w:r>
      <w:r>
        <w:rPr>
          <w:rFonts w:ascii="Times New Roman" w:hAnsi="Times New Roman" w:cs="Times New Roman"/>
          <w:sz w:val="24"/>
          <w:szCs w:val="24"/>
        </w:rPr>
        <w:t xml:space="preserve">адресований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, та </w:t>
      </w:r>
      <w:r>
        <w:rPr>
          <w:rFonts w:ascii="Times New Roman" w:hAnsi="Times New Roman" w:cs="Times New Roman"/>
          <w:sz w:val="24"/>
          <w:szCs w:val="24"/>
        </w:rPr>
        <w:t xml:space="preserve">містити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інформацію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посиланням</w:t>
      </w:r>
      <w:r>
        <w:rPr>
          <w:rFonts w:ascii="Times New Roman" w:hAnsi="Times New Roman" w:cs="Times New Roman"/>
          <w:sz w:val="24"/>
          <w:szCs w:val="24"/>
        </w:rPr>
        <w:t xml:space="preserve"> на номер і дату </w:t>
      </w:r>
      <w:r>
        <w:rPr>
          <w:rFonts w:ascii="Times New Roman" w:hAnsi="Times New Roman" w:cs="Times New Roman"/>
          <w:sz w:val="24"/>
          <w:szCs w:val="24"/>
        </w:rPr>
        <w:t xml:space="preserve">оприлюднення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sz w:val="24"/>
          <w:szCs w:val="24"/>
        </w:rPr>
        <w:t xml:space="preserve"> на веб-</w:t>
      </w:r>
      <w:r>
        <w:rPr>
          <w:rFonts w:ascii="Times New Roman" w:hAnsi="Times New Roman" w:cs="Times New Roman"/>
          <w:sz w:val="24"/>
          <w:szCs w:val="24"/>
        </w:rPr>
        <w:t xml:space="preserve">порталі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Уповноваженого</w:t>
      </w:r>
      <w:r>
        <w:rPr>
          <w:rFonts w:ascii="Times New Roman" w:hAnsi="Times New Roman" w:cs="Times New Roman"/>
          <w:sz w:val="24"/>
          <w:szCs w:val="24"/>
        </w:rPr>
        <w:t xml:space="preserve"> органу, </w:t>
      </w:r>
      <w:r>
        <w:rPr>
          <w:rFonts w:ascii="Times New Roman" w:hAnsi="Times New Roman" w:cs="Times New Roman"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Товару.</w:t>
      </w:r>
      <w:r/>
    </w:p>
    <w:p>
      <w:pPr>
        <w:pStyle w:val="714"/>
        <w:numPr>
          <w:ilvl w:val="0"/>
          <w:numId w:val="3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документах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містять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опис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додаються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якісним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кількісним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іншим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характеристикам), повинен </w:t>
      </w:r>
      <w:r>
        <w:rPr>
          <w:rFonts w:ascii="Times New Roman" w:hAnsi="Times New Roman" w:cs="Times New Roman"/>
          <w:sz w:val="24"/>
          <w:szCs w:val="24"/>
        </w:rPr>
        <w:t xml:space="preserve">чітко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вказати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продуктів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, для </w:t>
      </w:r>
      <w:r>
        <w:rPr>
          <w:rFonts w:ascii="Times New Roman" w:hAnsi="Times New Roman" w:cs="Times New Roman"/>
          <w:sz w:val="24"/>
          <w:szCs w:val="24"/>
        </w:rPr>
        <w:t xml:space="preserve">задоволення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вказані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ступенем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деталізації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достатнім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внесення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специфікацій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договір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закупівлю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також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виконання</w:t>
      </w:r>
      <w:r>
        <w:rPr>
          <w:rFonts w:ascii="Times New Roman" w:hAnsi="Times New Roman" w:cs="Times New Roman"/>
          <w:sz w:val="24"/>
          <w:szCs w:val="24"/>
        </w:rPr>
        <w:t xml:space="preserve"> самого договору.</w:t>
      </w:r>
      <w:r/>
    </w:p>
    <w:p>
      <w:pPr>
        <w:pStyle w:val="714"/>
        <w:numPr>
          <w:ilvl w:val="0"/>
          <w:numId w:val="3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sz w:val="24"/>
          <w:szCs w:val="24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Під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>
        <w:rPr>
          <w:rFonts w:ascii="Times New Roman" w:hAnsi="Times New Roman" w:cs="Times New Roman"/>
          <w:sz w:val="24"/>
          <w:szCs w:val="24"/>
        </w:rPr>
        <w:t xml:space="preserve">поставці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вказанням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їх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/>
    </w:p>
    <w:p>
      <w:pPr>
        <w:pStyle w:val="714"/>
        <w:numPr>
          <w:ilvl w:val="0"/>
          <w:numId w:val="3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порівняльну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/>
    </w:p>
    <w:p>
      <w:pPr>
        <w:pStyle w:val="714"/>
        <w:numPr>
          <w:ilvl w:val="0"/>
          <w:numId w:val="32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Зазначаємо, що закупівля відбувається за кодом КЕКВ 2210. Просимо потенційних Учасників врахувати дану вимогу при розрахунку вартості товару та ціни за одиницю товару. У разі порушення даної вимоги, пропозицію Учасника буде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відхилено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підстав наведених у підпункті 2 пункту 44 Особливостей.</w:t>
      </w:r>
      <w:r/>
    </w:p>
    <w:p>
      <w:pPr>
        <w:pStyle w:val="714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</w:rPr>
        <w:t xml:space="preserve"> листа (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документів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(-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іноземною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мовою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цей</w:t>
      </w:r>
      <w:r>
        <w:rPr>
          <w:rFonts w:ascii="Times New Roman" w:hAnsi="Times New Roman" w:cs="Times New Roman"/>
          <w:sz w:val="24"/>
          <w:szCs w:val="24"/>
        </w:rPr>
        <w:t xml:space="preserve"> лист повинен </w:t>
      </w:r>
      <w:r>
        <w:rPr>
          <w:rFonts w:ascii="Times New Roman" w:hAnsi="Times New Roman" w:cs="Times New Roman"/>
          <w:sz w:val="24"/>
          <w:szCs w:val="24"/>
        </w:rPr>
        <w:t xml:space="preserve">супроводжуватись</w:t>
      </w:r>
      <w:r>
        <w:rPr>
          <w:rFonts w:ascii="Times New Roman" w:hAnsi="Times New Roman" w:cs="Times New Roman"/>
          <w:sz w:val="24"/>
          <w:szCs w:val="24"/>
        </w:rPr>
        <w:t xml:space="preserve"> перекладом на </w:t>
      </w:r>
      <w:r>
        <w:rPr>
          <w:rFonts w:ascii="Times New Roman" w:hAnsi="Times New Roman" w:cs="Times New Roman"/>
          <w:sz w:val="24"/>
          <w:szCs w:val="24"/>
        </w:rPr>
        <w:t xml:space="preserve">українську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714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Авторизаційні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адресовані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обов’язковим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найменування</w:t>
      </w:r>
      <w:r>
        <w:rPr>
          <w:rFonts w:ascii="Times New Roman" w:hAnsi="Times New Roman" w:cs="Times New Roman"/>
          <w:sz w:val="24"/>
          <w:szCs w:val="24"/>
        </w:rPr>
        <w:t xml:space="preserve"> та номеру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Замовник має право звернут</w:t>
      </w:r>
      <w:r>
        <w:rPr>
          <w:rFonts w:ascii="Times New Roman" w:hAnsi="Times New Roman" w:cs="Times New Roman"/>
          <w:sz w:val="24"/>
          <w:szCs w:val="24"/>
        </w:rPr>
        <w:t xml:space="preserve">ися за підтвердженням інформації, наданої учасником, до органів державної влади, підприємств, установ, організацій відповідно до їх компетенції. У разі отримання достовірної інформації про його невідповідність вимогам кваліфікаційних критеріїв, наявність п</w:t>
      </w:r>
      <w:r>
        <w:rPr>
          <w:rFonts w:ascii="Times New Roman" w:hAnsi="Times New Roman" w:cs="Times New Roman"/>
          <w:sz w:val="24"/>
          <w:szCs w:val="24"/>
        </w:rPr>
        <w:t xml:space="preserve">ідстав, зазначених у частині першій статті 17 цього Закону, або факту зазначення у тендерній пропозиції будь-якої недостовірної інформації, що є суттєвою при визначенні результатів процедури закупівлі, замовник відхиляє тендерну пропозицію такого учасника.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373 935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сімдесят три тисячі дев’ятсот тридцять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22"/>
  </w:num>
  <w:num w:numId="5">
    <w:abstractNumId w:val="6"/>
  </w:num>
  <w:num w:numId="6">
    <w:abstractNumId w:val="28"/>
  </w:num>
  <w:num w:numId="7">
    <w:abstractNumId w:val="10"/>
  </w:num>
  <w:num w:numId="8">
    <w:abstractNumId w:val="30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9"/>
  </w:num>
  <w:num w:numId="17">
    <w:abstractNumId w:val="0"/>
  </w:num>
  <w:num w:numId="18">
    <w:abstractNumId w:val="31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7"/>
  </w:num>
  <w:num w:numId="26">
    <w:abstractNumId w:val="20"/>
  </w:num>
  <w:num w:numId="27">
    <w:abstractNumId w:val="25"/>
  </w:num>
  <w:num w:numId="28">
    <w:abstractNumId w:val="18"/>
  </w:num>
  <w:num w:numId="29">
    <w:abstractNumId w:val="26"/>
  </w:num>
  <w:num w:numId="30">
    <w:abstractNumId w:val="15"/>
  </w:num>
  <w:num w:numId="31">
    <w:abstractNumId w:val="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2023-12-06T15:07:10Z</dcterms:modified>
</cp:coreProperties>
</file>