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0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Послуги </w:t>
      </w:r>
      <w:r>
        <w:rPr>
          <w:b w:val="0"/>
          <w:bCs w:val="0"/>
          <w:sz w:val="24"/>
          <w:szCs w:val="24"/>
          <w:shd w:val="clear" w:color="auto" w:fill="ffffff"/>
        </w:rPr>
        <w:t xml:space="preserve">переналаштування</w:t>
      </w:r>
      <w:r>
        <w:rPr>
          <w:b w:val="0"/>
          <w:bCs w:val="0"/>
          <w:sz w:val="24"/>
          <w:szCs w:val="24"/>
          <w:shd w:val="clear" w:color="auto" w:fill="ffffff"/>
        </w:rPr>
        <w:t xml:space="preserve"> та переміщення </w:t>
      </w:r>
      <w:r>
        <w:rPr>
          <w:b w:val="0"/>
          <w:bCs w:val="0"/>
          <w:sz w:val="24"/>
          <w:szCs w:val="24"/>
          <w:shd w:val="clear" w:color="auto" w:fill="ffffff"/>
        </w:rPr>
        <w:t xml:space="preserve">відеостін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 кодом CPV за ЄЗС ДК 021:2015 – 50340000-0 «Послуги з ремонту і технічного обслуговування аудіовізуального та оптичного обладнання»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6519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bookmarkStart w:id="0" w:name="_Hlk133583335"/>
      <w:r>
        <w:rPr>
          <w:rFonts w:ascii="Times New Roman" w:hAnsi="Times New Roman" w:cs="Times New Roman"/>
          <w:sz w:val="24"/>
          <w:szCs w:val="24"/>
        </w:rPr>
        <w:t xml:space="preserve">Послуги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переналаштування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переміщення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відеостін</w:t>
      </w:r>
      <w:bookmarkEnd w:id="0"/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tabs>
          <w:tab w:val="left" w:pos="142" w:leader="none"/>
        </w:tabs>
        <w:rPr>
          <w:rFonts w:ascii="Times New Roman" w:hAnsi="Times New Roman" w:eastAsia="Calibri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ar-SA"/>
        </w:rPr>
        <w:t xml:space="preserve">ТЕХНІЧНІ ВИМОГИ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Перелік обладнання щодо якого проводиться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переміщення:</w:t>
      </w:r>
      <w:r/>
    </w:p>
    <w:tbl>
      <w:tblPr>
        <w:tblW w:w="9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710"/>
        <w:gridCol w:w="6874"/>
        <w:gridCol w:w="1134"/>
        <w:gridCol w:w="1276"/>
      </w:tblGrid>
      <w:tr>
        <w:trPr>
          <w:cantSplit/>
          <w:jc w:val="center"/>
          <w:trHeight w:val="658"/>
        </w:trPr>
        <w:tc>
          <w:tcPr>
            <w:shd w:val="clear" w:color="auto" w:fill="ffffff"/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ffffff"/>
            <w:tcW w:w="68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Найменування обладнання </w:t>
            </w:r>
            <w:r/>
          </w:p>
        </w:tc>
        <w:tc>
          <w:tcPr>
            <w:shd w:val="clear" w:color="auto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Од.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</w:t>
            </w:r>
            <w:r/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cantSplit/>
          <w:jc w:val="center"/>
          <w:trHeight w:val="329"/>
        </w:trPr>
        <w:tc>
          <w:tcPr>
            <w:shd w:val="clear" w:color="auto" w:fill="ffffff"/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/>
            <w:tcW w:w="6874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Відеостіна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2х2 (дисплей 55") з підлоговим кріпленням та комплектом комунікаційного обладнання</w:t>
            </w:r>
            <w:r/>
          </w:p>
        </w:tc>
        <w:tc>
          <w:tcPr>
            <w:shd w:val="clear" w:color="auto" w:fill="ffffff"/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ffffff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</w:tbl>
    <w:p>
      <w:pPr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Перелік надання послуг демонтажу, </w:t>
      </w:r>
      <w:r/>
    </w:p>
    <w:p>
      <w:pPr>
        <w:jc w:val="center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монтажу та технічного обслуговування обладнання</w:t>
      </w:r>
      <w:r/>
    </w:p>
    <w:p>
      <w:pPr>
        <w:jc w:val="center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6767"/>
        <w:gridCol w:w="971"/>
        <w:gridCol w:w="1246"/>
      </w:tblGrid>
      <w:tr>
        <w:trPr>
          <w:trHeight w:val="20"/>
        </w:trPr>
        <w:tc>
          <w:tcPr>
            <w:tcW w:w="643" w:type="dxa"/>
            <w:vAlign w:val="center"/>
            <w:textDirection w:val="lrTb"/>
            <w:noWrap w:val="false"/>
          </w:tcPr>
          <w:p>
            <w:pPr>
              <w:ind w:right="-108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6769" w:type="dxa"/>
            <w:vAlign w:val="center"/>
            <w:textDirection w:val="lrTb"/>
            <w:noWrap w:val="false"/>
          </w:tcPr>
          <w:p>
            <w:pPr>
              <w:ind w:firstLine="360"/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обладнання, яке підлягає демонтажу, монтажу та обслуговуванню\найменування послуги</w:t>
            </w:r>
            <w:r/>
          </w:p>
        </w:tc>
        <w:tc>
          <w:tcPr>
            <w:tcW w:w="97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Од. виміру</w:t>
            </w:r>
            <w:r/>
          </w:p>
        </w:tc>
        <w:tc>
          <w:tcPr>
            <w:tcW w:w="12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1663"/>
        </w:trPr>
        <w:tc>
          <w:tcPr>
            <w:tcW w:w="6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W w:w="676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Переміщення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відеостіни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2х2: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- демонтаж обладнання (ТВ панелі, кріплення, дроти,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стійки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); 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- пакування обладнання (ТВ панелі, кріплення, дроти,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стійки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);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-  перевезення обладнання (ТВ панелі, кріплення, дроти,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стійки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);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- монтаж обладнання (ТВ панелі, кріплення, дроти, подовжені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стійки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); 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створення та налаштування конфігурації модульного контролера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відеостіни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, згідно його специфікації;</w:t>
            </w:r>
            <w:r/>
          </w:p>
          <w:p>
            <w:pPr>
              <w:jc w:val="both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налаштування роботи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відеостіни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з контролером, синхронізація зображення на всіх 4-х панелях, коригування контурів зображення;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пуско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-налагоджувальні роботи, демонстрація результату замовнику.</w:t>
            </w:r>
            <w:r/>
          </w:p>
        </w:tc>
        <w:tc>
          <w:tcPr>
            <w:tcW w:w="97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W w:w="12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Якість наданих Виконавцем Послуг повинна відповідати вимогам законодавства.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Надати у складі пропозиції гарантійний лист, що всі затрати пов’язані із витратами на витратні матеріали, що необхідні при виконанні послуг несе Учасник та не включає в суму пропозиції на надання послуг.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При наданні послуг Учасник повинен дотримуватись законодавства у сфері охорони праці (надати гарантійний лист).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Всі необхідні витратні матеріали, що не передбачив Замовник, Учаснику необхідно передбачити та прорахувати.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Переміщення </w:t>
      </w:r>
      <w:r>
        <w:rPr>
          <w:rFonts w:ascii="Times New Roman" w:hAnsi="Times New Roman" w:cs="Times New Roman"/>
          <w:sz w:val="24"/>
          <w:szCs w:val="24"/>
        </w:rPr>
        <w:t xml:space="preserve">відеостін</w:t>
      </w:r>
      <w:r>
        <w:rPr>
          <w:rFonts w:ascii="Times New Roman" w:hAnsi="Times New Roman" w:cs="Times New Roman"/>
          <w:sz w:val="24"/>
          <w:szCs w:val="24"/>
        </w:rPr>
        <w:t xml:space="preserve"> відбувається між об’єктами установи Замовника, з м. Київ до м. Львів (точні адреси буде надано при укладанні договору).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55 760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п’ятдесят п’ять тисяч сімсот шістдесят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14"/>
  </w:num>
  <w:num w:numId="3">
    <w:abstractNumId w:val="6"/>
  </w:num>
  <w:num w:numId="4">
    <w:abstractNumId w:val="20"/>
  </w:num>
  <w:num w:numId="5">
    <w:abstractNumId w:val="5"/>
  </w:num>
  <w:num w:numId="6">
    <w:abstractNumId w:val="26"/>
  </w:num>
  <w:num w:numId="7">
    <w:abstractNumId w:val="9"/>
  </w:num>
  <w:num w:numId="8">
    <w:abstractNumId w:val="28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0"/>
  </w:num>
  <w:num w:numId="18">
    <w:abstractNumId w:val="29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2"/>
  </w:num>
  <w:num w:numId="25">
    <w:abstractNumId w:val="15"/>
  </w:num>
  <w:num w:numId="26">
    <w:abstractNumId w:val="18"/>
  </w:num>
  <w:num w:numId="27">
    <w:abstractNumId w:val="23"/>
  </w:num>
  <w:num w:numId="28">
    <w:abstractNumId w:val="16"/>
  </w:num>
  <w:num w:numId="29">
    <w:abstractNumId w:val="24"/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5"/>
    <w:next w:val="70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7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07"/>
    <w:link w:val="70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5"/>
    <w:next w:val="70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5"/>
    <w:next w:val="70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5"/>
    <w:next w:val="70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5"/>
    <w:next w:val="70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5"/>
    <w:next w:val="70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5"/>
    <w:next w:val="70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5"/>
    <w:next w:val="70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5"/>
    <w:next w:val="70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7"/>
    <w:link w:val="33"/>
    <w:uiPriority w:val="10"/>
    <w:rPr>
      <w:sz w:val="48"/>
      <w:szCs w:val="48"/>
    </w:rPr>
  </w:style>
  <w:style w:type="paragraph" w:styleId="35">
    <w:name w:val="Subtitle"/>
    <w:basedOn w:val="705"/>
    <w:next w:val="70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7"/>
    <w:link w:val="35"/>
    <w:uiPriority w:val="11"/>
    <w:rPr>
      <w:sz w:val="24"/>
      <w:szCs w:val="24"/>
    </w:rPr>
  </w:style>
  <w:style w:type="paragraph" w:styleId="37">
    <w:name w:val="Quote"/>
    <w:basedOn w:val="705"/>
    <w:next w:val="70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5"/>
    <w:next w:val="70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07"/>
    <w:link w:val="41"/>
    <w:uiPriority w:val="99"/>
  </w:style>
  <w:style w:type="character" w:styleId="44">
    <w:name w:val="Footer Char"/>
    <w:basedOn w:val="707"/>
    <w:link w:val="716"/>
    <w:uiPriority w:val="99"/>
  </w:style>
  <w:style w:type="paragraph" w:styleId="45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8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7"/>
    <w:uiPriority w:val="99"/>
    <w:unhideWhenUsed/>
    <w:rPr>
      <w:vertAlign w:val="superscript"/>
    </w:rPr>
  </w:style>
  <w:style w:type="paragraph" w:styleId="177">
    <w:name w:val="endnote text"/>
    <w:basedOn w:val="70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7"/>
    <w:uiPriority w:val="99"/>
    <w:semiHidden/>
    <w:unhideWhenUsed/>
    <w:rPr>
      <w:vertAlign w:val="superscript"/>
    </w:rPr>
  </w:style>
  <w:style w:type="paragraph" w:styleId="180">
    <w:name w:val="toc 1"/>
    <w:basedOn w:val="705"/>
    <w:next w:val="70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5"/>
    <w:next w:val="70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5"/>
    <w:next w:val="70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5"/>
    <w:next w:val="70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5"/>
    <w:next w:val="70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5"/>
    <w:next w:val="70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5"/>
    <w:next w:val="70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5"/>
    <w:next w:val="70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5"/>
    <w:next w:val="70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qFormat/>
    <w:rPr>
      <w:lang w:val="uk-UA"/>
    </w:rPr>
  </w:style>
  <w:style w:type="paragraph" w:styleId="706">
    <w:name w:val="Heading 2"/>
    <w:basedOn w:val="705"/>
    <w:link w:val="72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>
    <w:name w:val="List Paragraph"/>
    <w:basedOn w:val="705"/>
    <w:link w:val="71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1" w:customStyle="1">
    <w:name w:val="Абзац списку Знак"/>
    <w:link w:val="710"/>
    <w:uiPriority w:val="34"/>
    <w:qFormat/>
    <w:rPr>
      <w:rFonts w:ascii="Calibri" w:hAnsi="Calibri" w:eastAsia="Calibri" w:cs="Calibri"/>
      <w:lang w:eastAsia="zh-CN"/>
    </w:rPr>
  </w:style>
  <w:style w:type="table" w:styleId="712">
    <w:name w:val="Table Grid"/>
    <w:basedOn w:val="70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3" w:customStyle="1">
    <w:name w:val="Сетка таблицы2"/>
    <w:basedOn w:val="708"/>
    <w:next w:val="712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4">
    <w:name w:val="Normal (Web)"/>
    <w:basedOn w:val="705"/>
    <w:link w:val="721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15" w:customStyle="1">
    <w:name w:val="Сетка таблицы1"/>
    <w:basedOn w:val="708"/>
    <w:next w:val="712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6">
    <w:name w:val="Footer"/>
    <w:basedOn w:val="705"/>
    <w:link w:val="717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17" w:customStyle="1">
    <w:name w:val="Нижній колонтитул Знак"/>
    <w:basedOn w:val="707"/>
    <w:link w:val="716"/>
    <w:uiPriority w:val="99"/>
    <w:rPr>
      <w:rFonts w:ascii="Calibri" w:hAnsi="Calibri" w:eastAsia="Calibri" w:cs="Calibri"/>
      <w:lang w:eastAsia="zh-CN"/>
    </w:rPr>
  </w:style>
  <w:style w:type="paragraph" w:styleId="718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19">
    <w:name w:val="Hyperlink"/>
    <w:basedOn w:val="707"/>
    <w:uiPriority w:val="99"/>
    <w:unhideWhenUsed/>
    <w:rPr>
      <w:color w:val="0563c1" w:themeColor="hyperlink"/>
      <w:u w:val="single"/>
    </w:rPr>
  </w:style>
  <w:style w:type="character" w:styleId="720" w:customStyle="1">
    <w:name w:val="xfm_93972720"/>
    <w:basedOn w:val="707"/>
  </w:style>
  <w:style w:type="character" w:styleId="721" w:customStyle="1">
    <w:name w:val="Звичайний (веб) Знак"/>
    <w:link w:val="714"/>
    <w:uiPriority w:val="99"/>
    <w:qFormat/>
    <w:rPr>
      <w:rFonts w:ascii="Times New Roman" w:hAnsi="Times New Roman" w:cs="Times New Roman"/>
      <w:sz w:val="24"/>
      <w:szCs w:val="24"/>
      <w:lang w:val="uk-UA"/>
    </w:rPr>
  </w:style>
  <w:style w:type="paragraph" w:styleId="722">
    <w:name w:val="Body Text 2"/>
    <w:basedOn w:val="705"/>
    <w:link w:val="723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3" w:customStyle="1">
    <w:name w:val="Основний текст 2 Знак"/>
    <w:basedOn w:val="707"/>
    <w:link w:val="72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4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5" w:customStyle="1">
    <w:name w:val="Заголовок 2 Знак"/>
    <w:basedOn w:val="707"/>
    <w:link w:val="70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26">
    <w:name w:val="No Spacing"/>
    <w:link w:val="727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27" w:customStyle="1">
    <w:name w:val="Без інтервалів Знак"/>
    <w:basedOn w:val="707"/>
    <w:link w:val="726"/>
    <w:uiPriority w:val="1"/>
    <w:rPr>
      <w:rFonts w:ascii="Calibri" w:hAnsi="Calibri" w:eastAsia="Calibri" w:cs="Times New Roman"/>
      <w:lang w:val="uk-UA"/>
    </w:rPr>
  </w:style>
  <w:style w:type="character" w:styleId="728" w:customStyle="1">
    <w:name w:val="Другое_"/>
    <w:basedOn w:val="707"/>
    <w:link w:val="729"/>
    <w:rPr>
      <w:rFonts w:ascii="Calibri" w:hAnsi="Calibri" w:eastAsia="Calibri" w:cs="Calibri"/>
      <w:sz w:val="20"/>
      <w:szCs w:val="20"/>
    </w:rPr>
  </w:style>
  <w:style w:type="paragraph" w:styleId="729" w:customStyle="1">
    <w:name w:val="Другое"/>
    <w:basedOn w:val="705"/>
    <w:link w:val="728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0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1" w:customStyle="1">
    <w:name w:val="Основной текст (2)_"/>
    <w:basedOn w:val="707"/>
    <w:link w:val="732"/>
    <w:rPr>
      <w:rFonts w:eastAsia="Times New Roman" w:cs="Times New Roman"/>
      <w:shd w:val="clear" w:color="auto" w:fill="ffffff"/>
    </w:rPr>
  </w:style>
  <w:style w:type="paragraph" w:styleId="732" w:customStyle="1">
    <w:name w:val="Основной текст (2)"/>
    <w:basedOn w:val="705"/>
    <w:link w:val="731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3" w:customStyle="1">
    <w:name w:val="Текст у виносці Знак"/>
    <w:basedOn w:val="707"/>
    <w:link w:val="73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4">
    <w:name w:val="Balloon Text"/>
    <w:basedOn w:val="705"/>
    <w:link w:val="733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5" w:customStyle="1">
    <w:name w:val="Текст у виносці Знак1"/>
    <w:basedOn w:val="707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36" w:customStyle="1">
    <w:name w:val="T23"/>
    <w:rPr>
      <w:rFonts w:hint="default" w:ascii="Times New Roman" w:hAnsi="Times New Roman" w:eastAsia="Times New Roman1" w:cs="Times New Roman"/>
    </w:rPr>
  </w:style>
  <w:style w:type="paragraph" w:styleId="737" w:customStyle="1">
    <w:name w:val="Абзац списку1"/>
    <w:basedOn w:val="705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38" w:customStyle="1">
    <w:name w:val="markedcontent"/>
    <w:basedOn w:val="707"/>
  </w:style>
  <w:style w:type="paragraph" w:styleId="739">
    <w:name w:val="annotation text"/>
    <w:basedOn w:val="705"/>
    <w:link w:val="740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0" w:customStyle="1">
    <w:name w:val="Текст примітки Знак"/>
    <w:basedOn w:val="707"/>
    <w:link w:val="73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146</cp:revision>
  <dcterms:created xsi:type="dcterms:W3CDTF">2022-11-01T12:47:00Z</dcterms:created>
  <dcterms:modified xsi:type="dcterms:W3CDTF">2023-10-30T11:37:52Z</dcterms:modified>
</cp:coreProperties>
</file>