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 xml:space="preserve">Закупівля </w:t>
      </w:r>
      <w:r>
        <w:rPr>
          <w:rFonts w:eastAsia="Calibri"/>
          <w:b w:val="false"/>
          <w:bCs w:val="false"/>
          <w:sz w:val="24"/>
          <w:szCs w:val="24"/>
        </w:rPr>
        <w:t>послуги з цілодобової охорони (1 пост) (охорона об'єкту ДУ ЦІТ МВС України, розміщеного за адресою: вул. Донорська (Слєпньова), 6, м. Одеса, Одеська обл.)</w:t>
      </w:r>
      <w:r>
        <w:rPr>
          <w:b w:val="false"/>
          <w:bCs w:val="false"/>
          <w:sz w:val="24"/>
          <w:szCs w:val="24"/>
        </w:rPr>
        <w:t xml:space="preserve"> за кодом CPV за ЄЗС ДК 021:2015: </w:t>
      </w:r>
      <w:r>
        <w:rPr>
          <w:rFonts w:eastAsia="Calibri"/>
          <w:b w:val="false"/>
          <w:bCs w:val="false"/>
          <w:sz w:val="24"/>
          <w:szCs w:val="24"/>
        </w:rPr>
        <w:t>79710000-4 Охоронні послуги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UA-2024-11-30-000332-а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ascii="Times New Roman" w:hAnsi="Times New Roman"/>
          <w:sz w:val="24"/>
          <w:szCs w:val="24"/>
          <w:lang w:eastAsia="uk-UA"/>
        </w:rPr>
        <w:t xml:space="preserve">Закупівля </w:t>
      </w:r>
      <w:r>
        <w:rPr>
          <w:rFonts w:eastAsia="Calibri" w:ascii="Times New Roman" w:hAnsi="Times New Roman"/>
          <w:sz w:val="24"/>
          <w:szCs w:val="24"/>
          <w:lang w:eastAsia="uk-UA"/>
        </w:rPr>
        <w:t>послуги з цілодобової охорони (1 пост) (охорона об'єкту ДУ ЦІТ МВС України, розміщеного за адресою: вул. Донорська (Слєпньова), 6, м. Одеса, Одеська обл.)</w:t>
      </w:r>
      <w:r>
        <w:rPr>
          <w:rFonts w:ascii="Times New Roman" w:hAnsi="Times New Roman"/>
          <w:sz w:val="24"/>
          <w:szCs w:val="24"/>
          <w:lang w:eastAsia="uk-UA"/>
        </w:rPr>
        <w:t xml:space="preserve"> за кодом CPV за ЄЗС ДК 021:2015: </w:t>
      </w:r>
      <w:r>
        <w:rPr>
          <w:rFonts w:eastAsia="Calibri" w:ascii="Times New Roman" w:hAnsi="Times New Roman"/>
          <w:sz w:val="24"/>
          <w:szCs w:val="24"/>
          <w:lang w:eastAsia="uk-UA"/>
        </w:rPr>
        <w:t>79710000-4 Охоронні послуги</w:t>
      </w:r>
    </w:p>
    <w:p>
      <w:pPr>
        <w:pStyle w:val="Normal"/>
        <w:spacing w:lineRule="auto" w:line="240" w:before="0" w:after="0"/>
        <w:ind w:firstLine="357"/>
        <w:jc w:val="center"/>
        <w:rPr>
          <w:rFonts w:ascii="Times New Roman" w:hAnsi="Times New Roman" w:cs="Times New Roman"/>
          <w:b/>
          <w:b/>
          <w:color w:val="000000"/>
          <w:sz w:val="24"/>
          <w:szCs w:val="24"/>
        </w:rPr>
      </w:pPr>
      <w:bookmarkStart w:id="0" w:name="_Hlk133583335"/>
      <w:bookmarkEnd w:id="0"/>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Style w:val="13"/>
        <w:tblW w:w="9634" w:type="dxa"/>
        <w:jc w:val="left"/>
        <w:tblInd w:w="5" w:type="dxa"/>
        <w:tblLayout w:type="fixed"/>
        <w:tblCellMar>
          <w:top w:w="0" w:type="dxa"/>
          <w:left w:w="0" w:type="dxa"/>
          <w:bottom w:w="0" w:type="dxa"/>
          <w:right w:w="0" w:type="dxa"/>
        </w:tblCellMar>
        <w:tblLook w:val="04a0" w:noHBand="0" w:noVBand="1" w:firstColumn="1" w:lastRow="0" w:lastColumn="0" w:firstRow="1"/>
      </w:tblPr>
      <w:tblGrid>
        <w:gridCol w:w="561"/>
        <w:gridCol w:w="6097"/>
        <w:gridCol w:w="1274"/>
        <w:gridCol w:w="1701"/>
      </w:tblGrid>
      <w:tr>
        <w:trPr/>
        <w:tc>
          <w:tcPr>
            <w:tcW w:w="561" w:type="dxa"/>
            <w:tcBorders/>
          </w:tcPr>
          <w:p>
            <w:pPr>
              <w:pStyle w:val="Normal"/>
              <w:widowControl/>
              <w:spacing w:lineRule="auto" w:line="240" w:before="0" w:after="0"/>
              <w:jc w:val="center"/>
              <w:rPr>
                <w:rFonts w:ascii="Times New Roman" w:hAnsi="Times New Roman" w:cs="Times New Roman"/>
                <w:b/>
                <w:b/>
                <w:bCs/>
                <w:sz w:val="24"/>
                <w:szCs w:val="24"/>
                <w:lang w:eastAsia="uk-UA"/>
              </w:rPr>
            </w:pPr>
            <w:r>
              <w:rPr>
                <w:rFonts w:eastAsia="" w:cs="Times New Roman" w:ascii="Times New Roman" w:hAnsi="Times New Roman"/>
                <w:b/>
                <w:bCs/>
                <w:kern w:val="0"/>
                <w:sz w:val="24"/>
                <w:szCs w:val="24"/>
                <w:lang w:eastAsia="uk-UA" w:bidi="ar-SA"/>
              </w:rPr>
              <w:t xml:space="preserve">№ </w:t>
            </w:r>
            <w:r>
              <w:rPr>
                <w:rFonts w:eastAsia="" w:cs="Times New Roman" w:ascii="Times New Roman" w:hAnsi="Times New Roman"/>
                <w:b/>
                <w:bCs/>
                <w:kern w:val="0"/>
                <w:sz w:val="24"/>
                <w:szCs w:val="24"/>
                <w:lang w:eastAsia="uk-UA" w:bidi="ar-SA"/>
              </w:rPr>
              <w:t>п/п</w:t>
            </w:r>
          </w:p>
        </w:tc>
        <w:tc>
          <w:tcPr>
            <w:tcW w:w="6097" w:type="dxa"/>
            <w:tcBorders/>
          </w:tcPr>
          <w:p>
            <w:pPr>
              <w:pStyle w:val="Normal"/>
              <w:widowControl/>
              <w:spacing w:lineRule="auto" w:line="240" w:before="0" w:after="0"/>
              <w:jc w:val="center"/>
              <w:rPr>
                <w:rFonts w:ascii="Times New Roman" w:hAnsi="Times New Roman" w:cs="Times New Roman"/>
                <w:b/>
                <w:b/>
                <w:bCs/>
                <w:sz w:val="24"/>
                <w:szCs w:val="24"/>
                <w:lang w:eastAsia="uk-UA"/>
              </w:rPr>
            </w:pPr>
            <w:r>
              <w:rPr>
                <w:rFonts w:eastAsia="" w:cs="Times New Roman" w:ascii="Times New Roman" w:hAnsi="Times New Roman"/>
                <w:b/>
                <w:bCs/>
                <w:kern w:val="0"/>
                <w:sz w:val="24"/>
                <w:szCs w:val="24"/>
                <w:lang w:eastAsia="uk-UA" w:bidi="ar-SA"/>
              </w:rPr>
              <w:t>Назва системи</w:t>
            </w:r>
          </w:p>
        </w:tc>
        <w:tc>
          <w:tcPr>
            <w:tcW w:w="1274" w:type="dxa"/>
            <w:tcBorders/>
          </w:tcPr>
          <w:p>
            <w:pPr>
              <w:pStyle w:val="Normal"/>
              <w:widowControl/>
              <w:spacing w:lineRule="auto" w:line="240" w:before="0" w:after="0"/>
              <w:jc w:val="center"/>
              <w:rPr>
                <w:rFonts w:ascii="Times New Roman" w:hAnsi="Times New Roman" w:cs="Times New Roman"/>
                <w:b/>
                <w:b/>
                <w:bCs/>
                <w:sz w:val="24"/>
                <w:szCs w:val="24"/>
                <w:lang w:eastAsia="uk-UA"/>
              </w:rPr>
            </w:pPr>
            <w:r>
              <w:rPr>
                <w:rFonts w:eastAsia="" w:cs="Times New Roman" w:ascii="Times New Roman" w:hAnsi="Times New Roman"/>
                <w:b/>
                <w:bCs/>
                <w:kern w:val="0"/>
                <w:sz w:val="24"/>
                <w:szCs w:val="24"/>
                <w:lang w:eastAsia="uk-UA" w:bidi="ar-SA"/>
              </w:rPr>
              <w:t>Одиниця виміру</w:t>
            </w:r>
          </w:p>
        </w:tc>
        <w:tc>
          <w:tcPr>
            <w:tcW w:w="1701" w:type="dxa"/>
            <w:tcBorders/>
          </w:tcPr>
          <w:p>
            <w:pPr>
              <w:pStyle w:val="Normal"/>
              <w:widowControl/>
              <w:spacing w:lineRule="auto" w:line="240" w:before="0" w:after="0"/>
              <w:jc w:val="center"/>
              <w:rPr>
                <w:rFonts w:ascii="Times New Roman" w:hAnsi="Times New Roman" w:cs="Times New Roman"/>
                <w:b/>
                <w:b/>
                <w:bCs/>
                <w:sz w:val="24"/>
                <w:szCs w:val="24"/>
                <w:lang w:eastAsia="uk-UA"/>
              </w:rPr>
            </w:pPr>
            <w:r>
              <w:rPr>
                <w:rFonts w:eastAsia="" w:cs="Times New Roman" w:ascii="Times New Roman" w:hAnsi="Times New Roman"/>
                <w:b/>
                <w:bCs/>
                <w:kern w:val="0"/>
                <w:sz w:val="24"/>
                <w:szCs w:val="24"/>
                <w:lang w:eastAsia="uk-UA" w:bidi="ar-SA"/>
              </w:rPr>
              <w:t>Кількість</w:t>
            </w:r>
          </w:p>
        </w:tc>
      </w:tr>
      <w:tr>
        <w:trPr/>
        <w:tc>
          <w:tcPr>
            <w:tcW w:w="561" w:type="dxa"/>
            <w:tcBorders/>
            <w:vAlign w:val="center"/>
          </w:tcPr>
          <w:p>
            <w:pPr>
              <w:pStyle w:val="Normal"/>
              <w:widowControl/>
              <w:spacing w:lineRule="auto" w:line="240" w:before="0" w:after="0"/>
              <w:jc w:val="center"/>
              <w:rPr>
                <w:rFonts w:ascii="Times New Roman" w:hAnsi="Times New Roman" w:cs="Times New Roman"/>
                <w:sz w:val="24"/>
                <w:szCs w:val="24"/>
                <w:lang w:eastAsia="uk-UA"/>
              </w:rPr>
            </w:pPr>
            <w:r>
              <w:rPr>
                <w:rFonts w:eastAsia="" w:cs="Times New Roman" w:ascii="Times New Roman" w:hAnsi="Times New Roman"/>
                <w:b/>
                <w:bCs/>
                <w:kern w:val="0"/>
                <w:sz w:val="24"/>
                <w:szCs w:val="24"/>
                <w:lang w:eastAsia="uk-UA" w:bidi="ar-SA"/>
              </w:rPr>
              <w:t>1</w:t>
            </w:r>
          </w:p>
        </w:tc>
        <w:tc>
          <w:tcPr>
            <w:tcW w:w="6097" w:type="dxa"/>
            <w:tcBorders/>
            <w:vAlign w:val="center"/>
          </w:tcPr>
          <w:p>
            <w:pPr>
              <w:pStyle w:val="Normal"/>
              <w:widowControl/>
              <w:spacing w:lineRule="auto" w:line="240" w:before="0" w:after="0"/>
              <w:jc w:val="both"/>
              <w:rPr>
                <w:rFonts w:ascii="Times New Roman" w:hAnsi="Times New Roman" w:cs="Times New Roman"/>
                <w:b/>
                <w:b/>
                <w:sz w:val="24"/>
                <w:szCs w:val="24"/>
                <w:lang w:eastAsia="uk-UA"/>
              </w:rPr>
            </w:pPr>
            <w:r>
              <w:rPr>
                <w:rFonts w:eastAsia="" w:cs="Times New Roman" w:ascii="Times New Roman" w:hAnsi="Times New Roman"/>
                <w:b/>
                <w:bCs/>
                <w:color w:val="000000"/>
                <w:kern w:val="0"/>
                <w:sz w:val="24"/>
                <w:szCs w:val="24"/>
                <w:lang w:eastAsia="uk-UA" w:bidi="ar-SA"/>
              </w:rPr>
              <w:t xml:space="preserve">Послуги з цілодобової охорони атестованими працівниками Виконавця (1 пост) до об'єктів державної форми власності (охорона об'єкту ДУ ЦІТ МВС України, розміщеного за адресою: вул. </w:t>
            </w:r>
            <w:r>
              <w:rPr>
                <w:rFonts w:eastAsia="" w:cs="Times New Roman" w:ascii="Times New Roman" w:hAnsi="Times New Roman"/>
                <w:b/>
                <w:bCs/>
                <w:kern w:val="0"/>
                <w:sz w:val="24"/>
                <w:szCs w:val="24"/>
                <w:lang w:eastAsia="uk-UA" w:bidi="ar-SA"/>
              </w:rPr>
              <w:t xml:space="preserve">вул. Донорська (Слєпньова), 6, </w:t>
            </w:r>
            <w:r>
              <w:rPr>
                <w:rFonts w:eastAsia="" w:cs="Times New Roman" w:ascii="Times New Roman" w:hAnsi="Times New Roman"/>
                <w:b/>
                <w:bCs/>
                <w:color w:val="000000"/>
                <w:kern w:val="0"/>
                <w:sz w:val="24"/>
                <w:szCs w:val="24"/>
                <w:lang w:eastAsia="uk-UA" w:bidi="ar-SA"/>
              </w:rPr>
              <w:t>м. Одеса, Одеська обл.)</w:t>
            </w:r>
          </w:p>
        </w:tc>
        <w:tc>
          <w:tcPr>
            <w:tcW w:w="1274" w:type="dxa"/>
            <w:tcBorders/>
            <w:vAlign w:val="center"/>
          </w:tcPr>
          <w:p>
            <w:pPr>
              <w:pStyle w:val="Normal"/>
              <w:widowControl/>
              <w:spacing w:lineRule="auto" w:line="240" w:before="0" w:after="0"/>
              <w:jc w:val="center"/>
              <w:rPr>
                <w:rFonts w:ascii="Times New Roman" w:hAnsi="Times New Roman" w:cs="Times New Roman"/>
                <w:sz w:val="24"/>
                <w:szCs w:val="24"/>
                <w:lang w:eastAsia="uk-UA"/>
              </w:rPr>
            </w:pPr>
            <w:r>
              <w:rPr>
                <w:rFonts w:eastAsia="" w:cs="Times New Roman" w:ascii="Times New Roman" w:hAnsi="Times New Roman"/>
                <w:kern w:val="0"/>
                <w:sz w:val="24"/>
                <w:szCs w:val="24"/>
                <w:lang w:eastAsia="uk-UA" w:bidi="ar-SA"/>
              </w:rPr>
              <w:t>посл.</w:t>
            </w:r>
          </w:p>
        </w:tc>
        <w:tc>
          <w:tcPr>
            <w:tcW w:w="1701" w:type="dxa"/>
            <w:tcBorders/>
            <w:vAlign w:val="center"/>
          </w:tcPr>
          <w:p>
            <w:pPr>
              <w:pStyle w:val="Normal"/>
              <w:widowControl/>
              <w:spacing w:lineRule="auto" w:line="240" w:before="0" w:after="0"/>
              <w:jc w:val="center"/>
              <w:rPr>
                <w:rFonts w:ascii="Times New Roman" w:hAnsi="Times New Roman" w:cs="Times New Roman"/>
                <w:sz w:val="24"/>
                <w:szCs w:val="24"/>
                <w:lang w:eastAsia="uk-UA"/>
              </w:rPr>
            </w:pPr>
            <w:r>
              <w:rPr>
                <w:rFonts w:eastAsia="" w:cs="Times New Roman" w:ascii="Times New Roman" w:hAnsi="Times New Roman"/>
                <w:kern w:val="0"/>
                <w:sz w:val="24"/>
                <w:szCs w:val="24"/>
                <w:lang w:eastAsia="uk-UA" w:bidi="ar-SA"/>
              </w:rPr>
              <w:t>12 (</w:t>
            </w:r>
            <w:r>
              <w:rPr>
                <w:rFonts w:eastAsia="" w:cs="Times New Roman" w:ascii="Times New Roman" w:hAnsi="Times New Roman"/>
                <w:kern w:val="0"/>
                <w:sz w:val="24"/>
                <w:szCs w:val="24"/>
                <w:lang w:eastAsia="en-US" w:bidi="ar-SA"/>
              </w:rPr>
              <w:t>8760 годин)</w:t>
            </w:r>
          </w:p>
        </w:tc>
      </w:tr>
    </w:tbl>
    <w:p>
      <w:pPr>
        <w:pStyle w:val="Normal"/>
        <w:spacing w:lineRule="auto" w:line="240" w:before="0" w:after="0"/>
        <w:jc w:val="both"/>
        <w:rPr>
          <w:rFonts w:ascii="Times New Roman" w:hAnsi="Times New Roman" w:cs="Times New Roman"/>
          <w:b/>
          <w:b/>
          <w:bCs/>
          <w:i/>
          <w:i/>
          <w:iCs/>
          <w:sz w:val="24"/>
          <w:szCs w:val="24"/>
        </w:rPr>
      </w:pPr>
      <w:r>
        <w:rPr>
          <w:rFonts w:cs="Times New Roman" w:ascii="Times New Roman" w:hAnsi="Times New Roman"/>
          <w:b/>
          <w:bCs/>
          <w:i/>
          <w:iCs/>
          <w:sz w:val="24"/>
          <w:szCs w:val="24"/>
        </w:rPr>
      </w:r>
      <w:bookmarkStart w:id="1" w:name="_Hlk133583335"/>
      <w:bookmarkStart w:id="2" w:name="_Hlk133583335"/>
      <w:bookmarkEnd w:id="2"/>
    </w:p>
    <w:p>
      <w:pPr>
        <w:pStyle w:val="Normal"/>
        <w:spacing w:lineRule="auto" w:line="240" w:before="0" w:after="0"/>
        <w:ind w:firstLine="708"/>
        <w:jc w:val="both"/>
        <w:rPr>
          <w:rFonts w:ascii="Times New Roman" w:hAnsi="Times New Roman" w:cs="Times New Roman"/>
          <w:sz w:val="24"/>
          <w:szCs w:val="24"/>
          <w:lang w:val="ru-RU"/>
        </w:rPr>
      </w:pPr>
      <w:r>
        <w:rPr>
          <w:rFonts w:cs="Times New Roman" w:ascii="Times New Roman" w:hAnsi="Times New Roman"/>
          <w:sz w:val="24"/>
          <w:szCs w:val="24"/>
          <w:lang w:val="ru-RU"/>
        </w:rPr>
        <w:t>Запропоновані учасником послуги повинні відповідати діючим стандартам та наступним технічним вимогам:</w:t>
      </w:r>
    </w:p>
    <w:p>
      <w:pPr>
        <w:pStyle w:val="Normal"/>
        <w:spacing w:lineRule="auto" w:line="240" w:before="0" w:after="0"/>
        <w:ind w:firstLine="708"/>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ведення цілодобового спостереження за об’єктом, прилеглої до нього території особисто та за допомогою системи відеоспостереження встановленої на об’єкті;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забезпечення встановленого на об’єкті контрольно-перепускного режиму та припинення, в межах наданих законодавством України повноважень, порушень громадського порядку на об’єкті;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недопущення несанкціонованого проникнення сторонніх осіб на територію об’єкта;</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контроль за переміщенням товарно- матеріальних цінностей на/з території об’єкта охорони;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здійснення адекватного реагування при виникненні позаштатних ситуацій;</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підтримання громадського порядку на території поста охорони та території об’єкта;</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контроль за дотриманням заходів пожежної безпеки на об’єкті;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ведення службової документації щодо переміщення на об’єкті охорони;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виконання обов’язків у відповідності до Інструкції з охорони об’єкту;</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здійснення технічно грамотної експлуатації (застосування) засобів керування освітленням, воріт, засобів гасіння пожежі, іншого обладнання, дотримання встановлених норм пожежної безпеки та вимог санітарно-гігієнічних норм на посту охорони.</w:t>
      </w:r>
    </w:p>
    <w:p>
      <w:pPr>
        <w:pStyle w:val="Normal"/>
        <w:spacing w:lineRule="auto" w:line="240" w:before="0" w:after="0"/>
        <w:ind w:firstLine="567"/>
        <w:rPr>
          <w:rFonts w:ascii="Times New Roman" w:hAnsi="Times New Roman" w:cs="Times New Roman"/>
          <w:b/>
          <w:b/>
          <w:sz w:val="24"/>
          <w:szCs w:val="24"/>
          <w:lang w:val="ru-RU"/>
        </w:rPr>
      </w:pPr>
      <w:r>
        <w:rPr>
          <w:rFonts w:cs="Times New Roman" w:ascii="Times New Roman" w:hAnsi="Times New Roman"/>
          <w:b/>
          <w:sz w:val="24"/>
          <w:szCs w:val="24"/>
          <w:lang w:val="ru-RU"/>
        </w:rPr>
        <w:t>Вимоги до учасника закупівлі:</w:t>
      </w:r>
    </w:p>
    <w:p>
      <w:pPr>
        <w:pStyle w:val="Normal"/>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lang w:val="ru-RU"/>
        </w:rPr>
        <w:t xml:space="preserve">Учасник закупівлі  повинен мати у своєму складі групу швидкого реагування на випадок виникнення надзвичайної ситуації на об’єкті, яка знаходиться на цілодобовому чергуванні (у </w:t>
      </w:r>
      <w:r>
        <w:rPr>
          <w:rFonts w:cs="Times New Roman" w:ascii="Times New Roman" w:hAnsi="Times New Roman"/>
          <w:bCs/>
          <w:sz w:val="24"/>
          <w:szCs w:val="24"/>
        </w:rPr>
        <w:t xml:space="preserve">складі тендерної пропозиції учасником надаються </w:t>
      </w:r>
      <w:r>
        <w:rPr>
          <w:rFonts w:cs="Times New Roman" w:ascii="Times New Roman" w:hAnsi="Times New Roman"/>
          <w:sz w:val="24"/>
          <w:szCs w:val="24"/>
        </w:rPr>
        <w:t xml:space="preserve">видані </w:t>
      </w:r>
      <w:r>
        <w:rPr>
          <w:rFonts w:cs="Times New Roman" w:ascii="Times New Roman" w:hAnsi="Times New Roman"/>
          <w:sz w:val="24"/>
          <w:szCs w:val="24"/>
          <w:lang w:val="ru-RU"/>
        </w:rPr>
        <w:t>коменда</w:t>
      </w:r>
      <w:r>
        <w:rPr>
          <w:rFonts w:cs="Times New Roman" w:ascii="Times New Roman" w:hAnsi="Times New Roman"/>
          <w:sz w:val="24"/>
          <w:szCs w:val="24"/>
        </w:rPr>
        <w:t>н</w:t>
      </w:r>
      <w:r>
        <w:rPr>
          <w:rFonts w:cs="Times New Roman" w:ascii="Times New Roman" w:hAnsi="Times New Roman"/>
          <w:sz w:val="24"/>
          <w:szCs w:val="24"/>
          <w:lang w:val="ru-RU"/>
        </w:rPr>
        <w:t>т</w:t>
      </w:r>
      <w:r>
        <w:rPr>
          <w:rFonts w:cs="Times New Roman" w:ascii="Times New Roman" w:hAnsi="Times New Roman"/>
          <w:sz w:val="24"/>
          <w:szCs w:val="24"/>
        </w:rPr>
        <w:t>ом</w:t>
      </w:r>
      <w:r>
        <w:rPr>
          <w:rFonts w:cs="Times New Roman" w:ascii="Times New Roman" w:hAnsi="Times New Roman"/>
          <w:sz w:val="24"/>
          <w:szCs w:val="24"/>
          <w:lang w:val="ru-RU"/>
        </w:rPr>
        <w:t xml:space="preserve"> Одеської області документи</w:t>
      </w:r>
      <w:r>
        <w:rPr>
          <w:rFonts w:cs="Times New Roman" w:ascii="Times New Roman" w:hAnsi="Times New Roman"/>
          <w:sz w:val="24"/>
          <w:szCs w:val="24"/>
        </w:rPr>
        <w:t xml:space="preserve"> (перепустки, та/або дозволи, та/або листи)</w:t>
      </w:r>
      <w:r>
        <w:rPr>
          <w:rFonts w:cs="Times New Roman" w:ascii="Times New Roman" w:hAnsi="Times New Roman"/>
          <w:sz w:val="24"/>
          <w:szCs w:val="24"/>
          <w:lang w:val="ru-RU"/>
        </w:rPr>
        <w:t xml:space="preserve">, що підтверджують право пересування працівників </w:t>
      </w:r>
      <w:r>
        <w:rPr>
          <w:rFonts w:cs="Times New Roman" w:ascii="Times New Roman" w:hAnsi="Times New Roman"/>
          <w:sz w:val="24"/>
          <w:szCs w:val="24"/>
        </w:rPr>
        <w:t>у</w:t>
      </w:r>
      <w:r>
        <w:rPr>
          <w:rFonts w:cs="Times New Roman" w:ascii="Times New Roman" w:hAnsi="Times New Roman"/>
          <w:sz w:val="24"/>
          <w:szCs w:val="24"/>
          <w:lang w:val="ru-RU"/>
        </w:rPr>
        <w:t xml:space="preserve">часника та транспортних засобів </w:t>
      </w:r>
      <w:r>
        <w:rPr>
          <w:rFonts w:cs="Times New Roman" w:ascii="Times New Roman" w:hAnsi="Times New Roman"/>
          <w:sz w:val="24"/>
          <w:szCs w:val="24"/>
        </w:rPr>
        <w:t>у</w:t>
      </w:r>
      <w:r>
        <w:rPr>
          <w:rFonts w:cs="Times New Roman" w:ascii="Times New Roman" w:hAnsi="Times New Roman"/>
          <w:sz w:val="24"/>
          <w:szCs w:val="24"/>
          <w:lang w:val="ru-RU"/>
        </w:rPr>
        <w:t>часника по території м. Одеси під час дії комендантської години</w:t>
      </w:r>
      <w:r>
        <w:rPr>
          <w:rFonts w:cs="Times New Roman" w:ascii="Times New Roman" w:hAnsi="Times New Roman"/>
          <w:sz w:val="24"/>
          <w:szCs w:val="24"/>
        </w:rPr>
        <w:t>)</w:t>
      </w:r>
      <w:r>
        <w:rPr>
          <w:rFonts w:cs="Times New Roman" w:ascii="Times New Roman" w:hAnsi="Times New Roman"/>
          <w:bCs/>
          <w:sz w:val="24"/>
          <w:szCs w:val="24"/>
        </w:rPr>
        <w:t>.</w:t>
      </w:r>
    </w:p>
    <w:p>
      <w:pPr>
        <w:pStyle w:val="Normal"/>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t>Учасник закупівлі повинен мати: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службовий автомобіль;</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ліхтарі;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формений одяг кожному з охоронців, яких планується залучити до охорони об’єкта;</w:t>
      </w:r>
    </w:p>
    <w:p>
      <w:pPr>
        <w:pStyle w:val="Normal"/>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lang w:val="ru-RU"/>
        </w:rPr>
        <w:t>- спеціальні засоби активної оборони (бронежилети, гумові кийки ПР73, газові балончики з аерозолями дратівної дії</w:t>
      </w:r>
      <w:r>
        <w:rPr>
          <w:rFonts w:cs="Times New Roman" w:ascii="Times New Roman" w:hAnsi="Times New Roman"/>
          <w:bCs/>
          <w:sz w:val="24"/>
          <w:szCs w:val="24"/>
        </w:rPr>
        <w:t>);</w:t>
      </w:r>
    </w:p>
    <w:p>
      <w:pPr>
        <w:pStyle w:val="Normal"/>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t xml:space="preserve">- вогнепальну зброю (в розумінні пункту 8.2. глави 8 розділу ІІ </w:t>
      </w:r>
      <w:r>
        <w:rPr>
          <w:rFonts w:cs="Times New Roman" w:ascii="Times New Roman" w:hAnsi="Times New Roman"/>
          <w:sz w:val="24"/>
          <w:szCs w:val="24"/>
        </w:rPr>
        <w:t>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що затверджена наказом Міністерства внутрішніх справ України від 21 серпня 1998 року № 622, із подальшими змінами та доповненнями»).</w:t>
      </w:r>
    </w:p>
    <w:p>
      <w:pPr>
        <w:pStyle w:val="Normal"/>
        <w:spacing w:lineRule="auto" w:line="240"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Вимоги до охоронців:</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вік від 18 років, представницький зовнішній вигляд;</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знання основ законодавчої бази, бути фізично підготовленими;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спостережливість наполегливість,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наочно-образне і практичне мислення, здібність до відтворення зорового образу за словесним описом;</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емоційно-вольова стійкість;</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наявність знань та навичок роботи з приладами охоронної та протипожежної сигналізації, засобами для гасіння пожежі;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медичними протипоказаннями є захворювання нервової системи і опорно-рухового апарату, виражене зниження зору і слуху.</w:t>
      </w:r>
    </w:p>
    <w:p>
      <w:pPr>
        <w:pStyle w:val="Normal"/>
        <w:spacing w:lineRule="auto" w:line="240"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Черговий охоронець зобов’язаний:</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постійно перебувати на пункті перепуску об’єкта;</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буди охайно вдягнутим, у формений одяг з емблемою учасника закупівлі, мати при собі всі засоби активної оборони</w:t>
      </w:r>
      <w:r>
        <w:rPr>
          <w:rFonts w:cs="Times New Roman" w:ascii="Times New Roman" w:hAnsi="Times New Roman"/>
          <w:bCs/>
          <w:sz w:val="24"/>
          <w:szCs w:val="24"/>
        </w:rPr>
        <w:t xml:space="preserve"> і вогнепальну зброю</w:t>
      </w:r>
      <w:r>
        <w:rPr>
          <w:rFonts w:cs="Times New Roman" w:ascii="Times New Roman" w:hAnsi="Times New Roman"/>
          <w:bCs/>
          <w:sz w:val="24"/>
          <w:szCs w:val="24"/>
          <w:lang w:val="ru-RU"/>
        </w:rPr>
        <w:t xml:space="preserve"> для охорони об’єкта;</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перевіряти документи сторонніх осіб, які посвідчують особу, що прибула на об’єкт, при цьому звіряти відповідність фотографії на документі до особи, яка його пред’являє. Не допускати на об’єкт осіб, які знаходяться під впливом алкоголю чи наркотичних засобів;</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пропускати працівників, за посвідчення особи, контролювати роботу автоматизованої системи обмеження доступу до об’єкта;</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забезпечувати прийом та видачу ключів від службових приміщень працівникам;</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здійснювати пропуск відвідувачів після отримання оформленої разової перепустки;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перевіряти за матеріальною перепусткою (дорожнім листком, накладною) винесення (внесення) чи вивезення (ввезення) будь якого майна, що саме і в якій кількості (кількість місць) дозволено винести (внести) чи вивезти (ввезти);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не дозволяти виносити (вносити) чи вивозити (ввозити) будь яке майно з території (на територію) без відповідного дозволу;</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при зверненні до співробітників та відвідувачів бути ввічливим і тактовним;</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зачиняти вікна та двері, вимикати світло, закривати воду (за необхідністю).</w:t>
      </w:r>
    </w:p>
    <w:p>
      <w:pPr>
        <w:pStyle w:val="Normal"/>
        <w:spacing w:lineRule="auto" w:line="240"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Технічні та якісні характеристики предмета закупівлі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Завдання та вимоги до учасників предмета закупівлі щодо надання охоронних послуг:</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здійснення охорони та забезпечення цілісності будівлі і матеріальних цінностей Державної установи «Центр інфраструктури та технологій Міністерства внутрішніх справ України» (далі – ДУ ЦІТ МВС України);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забезпечення пропускного режиму працівників та відвідувачів ДУ ЦІТ МВС України;</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контроль за внесенням та винесенням (ввезенням та вивезенням) товарно-матеріальних цінностей з приміщень, що охороняються;</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xml:space="preserve">- наявність у охоронців спецзасобів активної оборони (бронежилети, гумові кийки ПР73, газові балончики з аерозолями дратівної дії), </w:t>
      </w:r>
      <w:r>
        <w:rPr>
          <w:rFonts w:cs="Times New Roman" w:ascii="Times New Roman" w:hAnsi="Times New Roman"/>
          <w:bCs/>
          <w:sz w:val="24"/>
          <w:szCs w:val="24"/>
        </w:rPr>
        <w:t xml:space="preserve">вогнепальної зброї, </w:t>
      </w:r>
      <w:r>
        <w:rPr>
          <w:rFonts w:cs="Times New Roman" w:ascii="Times New Roman" w:hAnsi="Times New Roman"/>
          <w:bCs/>
          <w:sz w:val="24"/>
          <w:szCs w:val="24"/>
          <w:lang w:val="ru-RU"/>
        </w:rPr>
        <w:t xml:space="preserve">форменого одягу відповідної пори року; </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забезпечення залучення до несення служби досвідчених працівників, які відповідають кваліфікаційним вимогам згідно встановлених Ліцензійних умов провадження господарської діяльності з надання послуг пов’язаних з охороною державної та іншої власності;</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xml:space="preserve">- наявність у в учасника діючого сертифікату відповідності (надається учасником в складі тендерної пропозиції), який підтверджує відповідність пункту централізованого спостереження вимогам Державних стандартів України, а саме ДСТУ </w:t>
      </w:r>
      <w:r>
        <w:rPr>
          <w:rFonts w:cs="Times New Roman" w:ascii="Times New Roman" w:hAnsi="Times New Roman"/>
          <w:bCs/>
          <w:sz w:val="24"/>
          <w:szCs w:val="24"/>
          <w:lang w:val="en-US"/>
        </w:rPr>
        <w:t>EN</w:t>
      </w:r>
      <w:r>
        <w:rPr>
          <w:rFonts w:cs="Times New Roman" w:ascii="Times New Roman" w:hAnsi="Times New Roman"/>
          <w:bCs/>
          <w:sz w:val="24"/>
          <w:szCs w:val="24"/>
          <w:lang w:val="ru-RU"/>
        </w:rPr>
        <w:t xml:space="preserve"> 50518:2019, видан</w:t>
      </w:r>
      <w:r>
        <w:rPr>
          <w:rFonts w:cs="Times New Roman" w:ascii="Times New Roman" w:hAnsi="Times New Roman"/>
          <w:bCs/>
          <w:sz w:val="24"/>
          <w:szCs w:val="24"/>
        </w:rPr>
        <w:t>ого</w:t>
      </w:r>
      <w:r>
        <w:rPr>
          <w:rFonts w:cs="Times New Roman" w:ascii="Times New Roman" w:hAnsi="Times New Roman"/>
          <w:bCs/>
          <w:sz w:val="24"/>
          <w:szCs w:val="24"/>
          <w:lang w:val="ru-RU"/>
        </w:rPr>
        <w:t xml:space="preserve"> відповідним органом з сертифікації, акредитованим національним органом України з акредитації;</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лист, що підтверджує досвід надання учасником послуг з організації охорони правопорядку та громадського порядку, не менше 3-х років;</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w:t>
      </w:r>
      <w:r>
        <w:rPr>
          <w:rFonts w:cs="Times New Roman" w:ascii="Times New Roman" w:hAnsi="Times New Roman"/>
          <w:bCs/>
          <w:sz w:val="24"/>
          <w:szCs w:val="24"/>
        </w:rPr>
        <w:t xml:space="preserve"> (учасник надає у складі тендерної пропозиції відповідну довідку)</w:t>
      </w:r>
      <w:r>
        <w:rPr>
          <w:rFonts w:cs="Times New Roman" w:ascii="Times New Roman" w:hAnsi="Times New Roman"/>
          <w:bCs/>
          <w:sz w:val="24"/>
          <w:szCs w:val="24"/>
          <w:lang w:val="ru-RU"/>
        </w:rPr>
        <w:t>. З метою підтвердження даної вимоги учасник в складі своєї пропозиції  надає не менше 10 копій свідоцтва про проходження охоронниками навчання у відповідному навчальному закладі, з присвоєнням (підвищенням) розряду охоронника не нижче 3-го (несення служби зі зброєю);</w:t>
      </w:r>
    </w:p>
    <w:p>
      <w:pPr>
        <w:pStyle w:val="Normal"/>
        <w:spacing w:lineRule="auto" w:line="240" w:before="0" w:after="0"/>
        <w:ind w:firstLine="567"/>
        <w:jc w:val="both"/>
        <w:rPr>
          <w:rFonts w:ascii="Times New Roman" w:hAnsi="Times New Roman" w:cs="Times New Roman"/>
          <w:bCs/>
          <w:sz w:val="24"/>
          <w:szCs w:val="24"/>
          <w:lang w:val="ru-RU"/>
        </w:rPr>
      </w:pPr>
      <w:r>
        <w:rPr>
          <w:rFonts w:cs="Times New Roman" w:ascii="Times New Roman" w:hAnsi="Times New Roman"/>
          <w:bCs/>
          <w:sz w:val="24"/>
          <w:szCs w:val="24"/>
          <w:lang w:val="ru-RU"/>
        </w:rPr>
        <w:t>- наявність в учасника діючого спеціального дозволу на провадження діяльності, пов’язаної з державною таємницею, виданого Службою безпеки України (копія спеціального дозволу надається учасником в складі тендерної пропозиції).</w:t>
      </w:r>
    </w:p>
    <w:p>
      <w:pPr>
        <w:pStyle w:val="Normal"/>
        <w:spacing w:lineRule="auto" w:line="240"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Режим надання послуг ДУ ЦІТ МВС України:</w:t>
      </w:r>
    </w:p>
    <w:p>
      <w:pPr>
        <w:pStyle w:val="Normal"/>
        <w:spacing w:lineRule="auto" w:line="240" w:before="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 Цілодобово 1 особа за адресою:</w:t>
      </w:r>
    </w:p>
    <w:p>
      <w:pPr>
        <w:pStyle w:val="Normal"/>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lang w:val="ru-RU"/>
        </w:rPr>
        <w:t xml:space="preserve">- вул. </w:t>
      </w:r>
      <w:r>
        <w:rPr>
          <w:rFonts w:eastAsia="Calibri" w:cs="Times New Roman" w:ascii="Times New Roman" w:hAnsi="Times New Roman"/>
          <w:bCs/>
          <w:sz w:val="24"/>
          <w:szCs w:val="24"/>
          <w:u w:val="single"/>
          <w:lang w:eastAsia="uk-UA"/>
        </w:rPr>
        <w:t>вул. Донорська (Слєпньова), 6</w:t>
      </w:r>
      <w:r>
        <w:rPr>
          <w:rFonts w:cs="Times New Roman" w:ascii="Times New Roman" w:hAnsi="Times New Roman"/>
          <w:bCs/>
          <w:sz w:val="24"/>
          <w:szCs w:val="24"/>
          <w:lang w:val="ru-RU"/>
        </w:rPr>
        <w:t xml:space="preserve"> м. </w:t>
      </w:r>
      <w:r>
        <w:rPr>
          <w:rFonts w:cs="Times New Roman" w:ascii="Times New Roman" w:hAnsi="Times New Roman"/>
          <w:bCs/>
          <w:sz w:val="24"/>
          <w:szCs w:val="24"/>
        </w:rPr>
        <w:t>Одеса</w:t>
      </w:r>
      <w:r>
        <w:rPr>
          <w:rFonts w:cs="Times New Roman" w:ascii="Times New Roman" w:hAnsi="Times New Roman"/>
          <w:bCs/>
          <w:sz w:val="24"/>
          <w:szCs w:val="24"/>
          <w:lang w:val="ru-RU"/>
        </w:rPr>
        <w:t xml:space="preserve">, </w:t>
      </w:r>
      <w:r>
        <w:rPr>
          <w:rFonts w:cs="Times New Roman" w:ascii="Times New Roman" w:hAnsi="Times New Roman"/>
          <w:bCs/>
          <w:sz w:val="24"/>
          <w:szCs w:val="24"/>
        </w:rPr>
        <w:t>Одеська</w:t>
      </w:r>
      <w:r>
        <w:rPr>
          <w:rFonts w:cs="Times New Roman" w:ascii="Times New Roman" w:hAnsi="Times New Roman"/>
          <w:bCs/>
          <w:sz w:val="24"/>
          <w:szCs w:val="24"/>
          <w:lang w:val="ru-RU"/>
        </w:rPr>
        <w:t xml:space="preserve"> область;</w:t>
      </w:r>
    </w:p>
    <w:p>
      <w:pPr>
        <w:pStyle w:val="Normal"/>
        <w:widowControl w:val="false"/>
        <w:spacing w:lineRule="auto" w:line="240" w:before="0" w:after="0"/>
        <w:ind w:right="-1" w:hanging="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Послуги надаються з 01.01.2025 по 31.12.2025 року (8760 годин)</w:t>
      </w:r>
    </w:p>
    <w:p>
      <w:pPr>
        <w:pStyle w:val="Normal"/>
        <w:widowControl w:val="false"/>
        <w:spacing w:lineRule="auto" w:line="240" w:before="0" w:after="0"/>
        <w:ind w:right="-1" w:hanging="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2025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2025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1 782 660,00 грн. (один мільйон сімсот вісімдесят дві тисячі шістсот шістдесят шість гривень 00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99"/>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99"/>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Collabora_Office/22.05.20.1$Linux_X86_64 LibreOffice_project/bd9263bb6d0222e89e44fbff51d0d094dad8e281</Application>
  <AppVersion>15.0000</AppVersion>
  <Pages>3</Pages>
  <Words>1294</Words>
  <Characters>8826</Characters>
  <CharactersWithSpaces>10058</CharactersWithSpaces>
  <Paragraphs>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
  <dcterms:modified xsi:type="dcterms:W3CDTF">2024-11-30T10:38:19Z</dcterms:modified>
  <cp:revision>182</cp:revision>
  <dc:subject/>
  <dc:title/>
</cp:coreProperties>
</file>

<file path=docProps/custom.xml><?xml version="1.0" encoding="utf-8"?>
<Properties xmlns="http://schemas.openxmlformats.org/officeDocument/2006/custom-properties" xmlns:vt="http://schemas.openxmlformats.org/officeDocument/2006/docPropsVTypes"/>
</file>