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45"/>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із технічного обслуговування Комплексів автоматичної фото/відеофіксації правопорушень у сфері безпеки дорожнього руху “КАСКАД” </w:t>
      </w:r>
      <w:r>
        <w:rPr>
          <w:rStyle w:val="780"/>
          <w:b w:val="0"/>
          <w:bCs w:val="0"/>
          <w:color w:val="000000"/>
          <w:sz w:val="24"/>
          <w:szCs w:val="24"/>
          <w:shd w:val="clear" w:color="auto" w:fill="ffffff"/>
        </w:rPr>
        <w:t xml:space="preserve">за кодом CPV за ЄЗС ДК 021:2015: </w:t>
      </w:r>
      <w:r>
        <w:rPr>
          <w:b w:val="0"/>
          <w:bCs w:val="0"/>
          <w:sz w:val="24"/>
          <w:szCs w:val="24"/>
          <w:lang w:eastAsia="ru-RU"/>
        </w:rPr>
        <w:t xml:space="preserve">50410000-2 Послуги з ремонту і технічного обслуговування вимірювальних, випробувальних і контрольних приладів</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25</w:t>
      </w:r>
      <w:r>
        <w:rPr>
          <w:rFonts w:ascii="Times New Roman" w:hAnsi="Times New Roman" w:cs="Times New Roman"/>
          <w:sz w:val="24"/>
          <w:szCs w:val="24"/>
        </w:rPr>
        <w:t xml:space="preserve">-</w:t>
      </w:r>
      <w:r>
        <w:rPr>
          <w:rFonts w:ascii="Times New Roman" w:hAnsi="Times New Roman" w:cs="Times New Roman"/>
          <w:sz w:val="24"/>
          <w:szCs w:val="24"/>
        </w:rPr>
        <w:t xml:space="preserve">008394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Послуги із технічного обслуговування Комплексів автоматичної фото/відеофіксації правопорушень у сфері безпеки дорожнього руху “КАСКАД” </w:t>
      </w:r>
      <w:r>
        <w:rPr>
          <w:rStyle w:val="780"/>
          <w:rFonts w:ascii="Times New Roman" w:hAnsi="Times New Roman" w:cs="Times New Roman"/>
          <w:color w:val="000000"/>
          <w:sz w:val="24"/>
          <w:szCs w:val="24"/>
          <w:shd w:val="clear" w:color="auto" w:fill="ffffff"/>
        </w:rPr>
        <w:t xml:space="preserve">за кодом CPV за ЄЗС ДК 021:2015: </w:t>
      </w:r>
      <w:r>
        <w:rPr>
          <w:rFonts w:ascii="Times New Roman" w:hAnsi="Times New Roman" w:eastAsia="Times New Roman" w:cs="Times New Roman"/>
          <w:sz w:val="24"/>
          <w:szCs w:val="24"/>
          <w:lang w:eastAsia="ru-RU"/>
        </w:rPr>
        <w:t xml:space="preserve">50410000-2 Послуги з ремонту і технічного обслуговування вимірювальних, випробувальних і контрольних приладів</w:t>
      </w:r>
      <w:r/>
    </w:p>
    <w:p>
      <w:pPr>
        <w:ind w:firstLine="357"/>
        <w:jc w:val="center"/>
        <w:spacing w:after="0" w:line="240" w:lineRule="auto"/>
        <w:rPr>
          <w:rFonts w:ascii="Times New Roman" w:hAnsi="Times New Roman" w:cs="Times New Roman"/>
          <w:b/>
          <w:color w:val="000000"/>
          <w:sz w:val="24"/>
          <w:szCs w:val="24"/>
        </w:rPr>
      </w:pPr>
      <w:r/>
      <w:bookmarkStart w:id="0" w:name="_Hlk133583335"/>
      <w:r/>
      <w:bookmarkEnd w:id="0"/>
      <w:r/>
    </w:p>
    <w:p>
      <w:pPr>
        <w:ind w:right="-1" w:firstLine="737"/>
        <w:jc w:val="center"/>
        <w:spacing w:after="0" w:line="240" w:lineRule="auto"/>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ТЕХНІЧНІ ВИМОГИ</w:t>
      </w:r>
      <w:r/>
    </w:p>
    <w:p>
      <w:pPr>
        <w:numPr>
          <w:ilvl w:val="0"/>
          <w:numId w:val="32"/>
        </w:numPr>
        <w:contextualSpacing/>
        <w:jc w:val="center"/>
        <w:spacing w:after="0" w:line="240" w:lineRule="auto"/>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Загальна інформація.</w:t>
      </w:r>
      <w:r/>
    </w:p>
    <w:p>
      <w:pPr>
        <w:contextualSpacing/>
        <w:ind w:firstLine="709"/>
        <w:jc w:val="both"/>
        <w:spacing w:after="0" w:line="240" w:lineRule="auto"/>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 xml:space="preserve">Предметом закупівлі є послуги з технічного обслуговування – комплексу організаційних та технічних заходів, пов'язаних із</w:t>
      </w:r>
      <w:r>
        <w:rPr>
          <w:rFonts w:ascii="Times New Roman" w:hAnsi="Times New Roman" w:eastAsia="Calibri" w:cs="Times New Roman"/>
          <w:bCs/>
          <w:sz w:val="24"/>
          <w:szCs w:val="24"/>
          <w:lang w:eastAsia="ru-RU"/>
        </w:rPr>
        <w:t xml:space="preserve"> забезпеченням працездатного стану «Комплексів автоматичної фото/відеофіксації правопорушень у сфері безпеки дорожнього руху “КАСКАД”» (далі – Комплекс «Каскад»), які здійснюються шляхом виконання робіт з обслуговування відповідно до експлуатаційної докуме</w:t>
      </w:r>
      <w:r>
        <w:rPr>
          <w:rFonts w:ascii="Times New Roman" w:hAnsi="Times New Roman" w:eastAsia="Calibri" w:cs="Times New Roman"/>
          <w:bCs/>
          <w:sz w:val="24"/>
          <w:szCs w:val="24"/>
          <w:lang w:eastAsia="ru-RU"/>
        </w:rPr>
        <w:t xml:space="preserve">нтації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№326.</w:t>
      </w:r>
      <w:r/>
    </w:p>
    <w:p>
      <w:pPr>
        <w:ind w:firstLine="720"/>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Комплекс «КАСКАД» вироблений ТОВ «Українські системні інновації» та забезпечує в автоматичному режимі фотозйомку та відеозапис подій, що містять</w:t>
      </w:r>
      <w:r>
        <w:rPr>
          <w:rFonts w:ascii="Times New Roman" w:hAnsi="Times New Roman" w:eastAsia="Times New Roman" w:cs="Times New Roman"/>
          <w:sz w:val="24"/>
          <w:szCs w:val="24"/>
          <w:lang w:eastAsia="uk-UA"/>
        </w:rPr>
        <w:t xml:space="preserve">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телекомунікаційними мережами до автоматизованої системи обробки даних МВС. </w:t>
      </w:r>
      <w:r/>
    </w:p>
    <w:p>
      <w:pPr>
        <w:ind w:firstLine="720"/>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Технічні обслуговування проводяться з метою підтримання працездатного стану Комплексів </w:t>
      </w:r>
      <w:r>
        <w:rPr>
          <w:rFonts w:ascii="Times New Roman" w:hAnsi="Times New Roman" w:eastAsia="Times New Roman" w:cs="Times New Roman"/>
          <w:sz w:val="24"/>
          <w:szCs w:val="24"/>
          <w:lang w:val="ru-RU" w:eastAsia="uk-UA"/>
        </w:rPr>
        <w:t xml:space="preserve">«</w:t>
      </w:r>
      <w:r>
        <w:rPr>
          <w:rFonts w:ascii="Times New Roman" w:hAnsi="Times New Roman" w:eastAsia="Times New Roman" w:cs="Times New Roman"/>
          <w:sz w:val="24"/>
          <w:szCs w:val="24"/>
          <w:lang w:eastAsia="uk-UA"/>
        </w:rPr>
        <w:t xml:space="preserve">КАСКАД</w:t>
      </w:r>
      <w:r>
        <w:rPr>
          <w:rFonts w:ascii="Times New Roman" w:hAnsi="Times New Roman" w:eastAsia="Times New Roman" w:cs="Times New Roman"/>
          <w:sz w:val="24"/>
          <w:szCs w:val="24"/>
          <w:lang w:val="ru-RU" w:eastAsia="uk-UA"/>
        </w:rPr>
        <w:t xml:space="preserve">» в робочі дні з 09:00 до 18:00, у вихідні дні з 09:00 до 16:00</w:t>
      </w:r>
      <w:r>
        <w:rPr>
          <w:rFonts w:ascii="Times New Roman" w:hAnsi="Times New Roman" w:eastAsia="Times New Roman" w:cs="Times New Roman"/>
          <w:sz w:val="24"/>
          <w:szCs w:val="24"/>
          <w:lang w:eastAsia="uk-UA"/>
        </w:rPr>
        <w:t xml:space="preserve">.</w:t>
      </w:r>
      <w:r/>
    </w:p>
    <w:p>
      <w:pPr>
        <w:ind w:firstLine="720"/>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p>
      <w:pPr>
        <w:contextualSpacing/>
        <w:jc w:val="both"/>
        <w:spacing w:after="0" w:line="240" w:lineRule="auto"/>
        <w:rPr>
          <w:rFonts w:ascii="Times New Roman" w:hAnsi="Times New Roman" w:eastAsia="Calibri" w:cs="Times New Roman"/>
          <w:i/>
          <w:sz w:val="24"/>
          <w:szCs w:val="24"/>
          <w:lang w:eastAsia="ru-RU"/>
        </w:rPr>
      </w:pPr>
      <w:r>
        <w:rPr>
          <w:rFonts w:ascii="Times New Roman" w:hAnsi="Times New Roman" w:eastAsia="Calibri" w:cs="Times New Roman"/>
          <w:b/>
          <w:sz w:val="24"/>
          <w:szCs w:val="24"/>
          <w:lang w:eastAsia="ru-RU"/>
        </w:rPr>
        <w:t xml:space="preserve">2. Місця розташування та кількість Комплексів «Каскад», що підлягають технічному обслуговуванню:</w:t>
      </w:r>
      <w:r>
        <w:rPr>
          <w:rFonts w:ascii="Times New Roman" w:hAnsi="Times New Roman" w:eastAsia="Calibri" w:cs="Times New Roman"/>
          <w:i/>
          <w:sz w:val="24"/>
          <w:szCs w:val="24"/>
          <w:lang w:eastAsia="ru-RU"/>
        </w:rPr>
        <w:t xml:space="preserve"> </w:t>
      </w:r>
      <w:r/>
    </w:p>
    <w:tbl>
      <w:tblPr>
        <w:tblW w:w="9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8"/>
        <w:gridCol w:w="6945"/>
        <w:gridCol w:w="1556"/>
      </w:tblGrid>
      <w:tr>
        <w:trPr>
          <w:trHeight w:val="300"/>
        </w:trPr>
        <w:tc>
          <w:tcPr>
            <w:shd w:val="clear" w:color="auto" w:fill="auto"/>
            <w:tcW w:w="112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uk-UA"/>
              </w:rPr>
            </w:pPr>
            <w:r/>
            <w:bookmarkStart w:id="1" w:name="_ix7pg7m7aggh"/>
            <w:r/>
            <w:bookmarkEnd w:id="1"/>
            <w:r>
              <w:rPr>
                <w:rFonts w:ascii="Times New Roman" w:hAnsi="Times New Roman" w:eastAsia="Times New Roman" w:cs="Times New Roman"/>
                <w:sz w:val="24"/>
                <w:szCs w:val="24"/>
                <w:lang w:eastAsia="uk-UA"/>
              </w:rPr>
              <w:t xml:space="preserve">№ п/п</w:t>
            </w:r>
            <w:r/>
          </w:p>
        </w:tc>
        <w:tc>
          <w:tcPr>
            <w:shd w:val="clear" w:color="auto" w:fill="auto"/>
            <w:tcW w:w="6945"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Адреса встановлення</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Кількість</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490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555 + 730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555 + 662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294 + 260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37 + 700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 - Обухів 14+116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35 + 240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35 + 352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28 + 450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28 + 870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 - Харків - Довжанський 101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 - Харків - Довжанський 101 + 350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 - Харків - Довжанський 49 + 150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19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Н01 Київ - Знамянка 26 + 088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15 + 250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66 + 250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15 +740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Н01 Київ - Знамянка 26 + 050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 - Обухів 14+016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44 + 100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24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24 + 700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46 + 050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49 + 700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21 + 730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21 + 810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23 + 550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376 + 261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404 + 377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404 + 640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371 + 527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Н22 Устилуг - Луцьк - Рівне 82 + 575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Н22 Устилуг - Луцьк - Рівне 95 + 200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Н22 Устилуг - Луцьк - Рівне 19 + 098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М19 Доманове - Ковель - Чернівці - Тереблече 129 + 788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444 + 971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94 + 461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94+686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97+297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97+627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127+246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158+305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174+600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230+853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780+785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772+750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9+784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9+994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3+441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3+461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M05 Київ-Одеса 248+169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M05 Київ-Одеса 253+462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 Львів-Краковець 10+100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447+803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М11 Львів-Шегині 16+153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 Львів-Краковець 21+671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М09 Тернопіль-Львів-Рава-Руська 137+971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Н17 Львів-Радехів-Луцьк 4+898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М10-01 Західний обхід м. Львова 12+514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 Львів-Краковець 53+580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552+486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685+309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528+459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523+260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528+459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439+352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541+451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541+296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510+120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Н17 Львів-Радехів-Луцьк 3+064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М10-01 Західний обхід м. Львова 3+360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Київ-Одеса 465+483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Т-16-28 Спаське-Вилково 3+015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Київ-Харків-Довжанський 155+696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Київ-Харків-Довжанський 319+374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Київ-Харків-Довжанський 324+515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М22 Полтава-Олександрія 30+459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340+202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371+971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М01 Київ-Чернігів-Нові Яриловичі 113+864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М-02 Кіпті-Глухів-Бачівськ 125+385 км</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Н27 Чернігів-Мена-Сосниця-Грем’яч 11+903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Стрийська, 35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пр-т Святого Івана Павла II, 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пр-т. Святого Івана Павла ІІ, 35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394+318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Стрийська, 292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Княгині Ольги, 100К</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Василя Стуса, 39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Сихівська, 16А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Шевченка, 313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Володимира Великого 18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274-й квартал, 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вул. Андрія Ковальова, 17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пр-т Свободи, 120/25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пр-т. Свободи, 69А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пр-т. Добровольського, 123А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пр-т. Шевченка, 4А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Миколаївська дорога, 287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пр-т. Небесної Сотні, 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Миколаївська дорога, 205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вул. Семена Палія, 80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Південна дорога, 39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Південна дорога, 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вул. Семена Палія, 25А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9Т</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Євгена Коновальця, 411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пр-т. Хіміків, 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вул. Благовісна, 341/40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вул. Благовісна, 36/47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вул. Надпільна, 208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вул. Винниченка, 116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Старожучківський шлях у напрямку вул. Староконстянтинівська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Старожучківський шлях у напрямку вул. Білоруська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Хуст, вул. Волошина, 81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пр-т. Злуки, 47Б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пр-т Злуки, 45Б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вул. Степана Будного, 28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вул. Винниченка, 97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Хуст, вул. Івана Франка, 165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Хуст, вул. Львівська, 157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Науки, 12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Науки, 7в</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Науки, 60a</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Білгородське шосе, 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Білгородське шосе, 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вул. Полтавський Шлях, 62Б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вул. Полтавський Шлях, 79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Льва Ландау, 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Героїв Харкова, 86а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вул. Героїв Праці, 2/48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вул. Немировича-Данченка, 73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Дніпро ГЕС</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вул. Істоміна, 125а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вул. Будинок Відпочинку (поворот до музею)</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Євгена Коновальця, 320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Тисменицька, 311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Кропивницький, вул. Габдрахманова, 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Кропивницький, вул. Габдрахманова, 35А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вул. Протасевича, 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Галицька, 144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Крихівецька, 216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Ковельська, 147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В'ячеслава Чорновола, 17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Маршала Бірюзова, 32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Маршала Бірюзова, 35\14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Світанкова, 14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Великотирнівська, 19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Європейська, 155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Героїв АТО, 31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Ковельська, 144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Конякіна, 18А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Келецька, 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пр-т. Юності, 46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Київська, 126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Київська, 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пр-т. Хіміків, 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328+826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Біла Церква, вул. Леваневського, 48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Біла Церква,проспект Князя Володимира (біля вул. Надрічна, 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Хмельницький, вул. Вінницьке шосе, 8/1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Хмельницький, вул. Кам'янецька, 132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Хмельницький, пр-т. Миру, 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пр-т. Степана Бандери, 90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Чорновола В'ячеслава (біля вул. Засумська, 99)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Харківська, 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Сумщини, 10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Сумщини, 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Крут, 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Крут 1/3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Кондратьєва 129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244+199 </w:t>
            </w:r>
            <w:r>
              <w:rPr>
                <w:rFonts w:ascii="Times New Roman" w:hAnsi="Times New Roman" w:cs="Times New Roman"/>
                <w:sz w:val="24"/>
                <w:szCs w:val="24"/>
              </w:rPr>
              <w:br/>
              <w:t xml:space="preserve">(Яремче, вул. Свободи, 187)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240+283 (Яремче, вул. Свободи, 333)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227+233 </w:t>
            </w:r>
            <w:r>
              <w:rPr>
                <w:rFonts w:ascii="Times New Roman" w:hAnsi="Times New Roman" w:cs="Times New Roman"/>
                <w:sz w:val="24"/>
                <w:szCs w:val="24"/>
              </w:rPr>
              <w:br/>
              <w:t xml:space="preserve">(Микуличин, вул. Грушевського, 172Б)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Житомир, Чуднівський міст (у напрямку вул. Качинського)</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Житомир, Чуднівський міст (у напрямку вул. Радивилівська)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Житомир, вул. Перемоги 86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Чернігів, просп. Левка Лук’яненка 12, к2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Чернігів, пр-т Миру 296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Чернігів, пр-т Миру 241А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Кривий Ріг, вул. Вільної Ічкерії, 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Кривий Ріг, вул. Вільної Ічкерії, 13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Центральний, 160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Богоявленский, 125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9т</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Богоявленский, 140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Центральний, 93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Центральний, 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вул. Велика Морська, 13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Богоявленський, 42А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Богоявленський, 55/2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55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95+424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98+824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M23 Берегове-Виноградів-Велика Копаня 33+714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M23 Берегове-Виноградів-Велика Копаня 39+706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Мукачево, вул. Івана Франка, 74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Мукачево, вул. Великогірна, 51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Т-07-19 Іршава – Виноградів 0+694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вул. Вадима Пугачова, 6Д</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просп. Полтавський, 265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Пирогова, 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Харківська 111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Бердичів,вул. Одеська, 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M-30 Стрий - Умань - Дніпро - Ізварине 490+890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M-30 Стрий - Умань - Дніпро - Ізварине 491+090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М-21 Виступовичі-Житомир-Могилів-Подільській 294+619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М-21 Виступовичі-Житомир-Могилів-Подільській 294+567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М-21 Виступовичі-Житомир-Могилів-Подільській 190+141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Полтава, вул. Європейська 108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Бориспіль, вул. Броварська 1а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Бориспіль, вул. Київський шлях, 2б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вул. Івана Мазепи, 55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Івана Мазепи, 58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Жабинського 2б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Козацька 22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пр Миру 192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bl>
    <w:p>
      <w:pPr>
        <w:spacing w:after="0" w:line="240" w:lineRule="auto"/>
        <w:rPr>
          <w:rFonts w:ascii="Times New Roman" w:hAnsi="Times New Roman" w:eastAsia="Times New Roman" w:cs="Times New Roman"/>
          <w:b/>
          <w:sz w:val="24"/>
          <w:szCs w:val="24"/>
          <w:lang w:eastAsia="uk-UA"/>
        </w:rPr>
      </w:pPr>
      <w:r/>
      <w:bookmarkStart w:id="2" w:name="_8lhjtjsyighw"/>
      <w:r/>
      <w:bookmarkEnd w:id="2"/>
      <w:r/>
      <w:r/>
    </w:p>
    <w:p>
      <w:pPr>
        <w:ind w:left="360"/>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3. Перелік послуг технічного обслуговування та періодичність їх виконання:</w:t>
      </w:r>
      <w:r/>
    </w:p>
    <w:tbl>
      <w:tblPr>
        <w:tblW w:w="991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ook w:val="0000" w:firstRow="0" w:lastRow="0" w:firstColumn="0" w:lastColumn="0" w:noHBand="0" w:noVBand="0"/>
      </w:tblPr>
      <w:tblGrid>
        <w:gridCol w:w="7368"/>
        <w:gridCol w:w="2550"/>
      </w:tblGrid>
      <w:tr>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center"/>
              <w:spacing w:after="0" w:line="240" w:lineRule="auto"/>
              <w:rPr>
                <w:rFonts w:ascii="Times New Roman" w:hAnsi="Times New Roman" w:eastAsia="Times New Roman" w:cs="Times New Roman"/>
                <w:b/>
                <w:sz w:val="24"/>
                <w:szCs w:val="24"/>
                <w:lang w:eastAsia="uk-UA"/>
              </w:rPr>
            </w:pPr>
            <w:r/>
            <w:bookmarkStart w:id="3" w:name="_hwckevvgb07n"/>
            <w:r/>
            <w:bookmarkEnd w:id="3"/>
            <w:r>
              <w:rPr>
                <w:rFonts w:ascii="Times New Roman" w:hAnsi="Times New Roman" w:eastAsia="Times New Roman" w:cs="Times New Roman"/>
                <w:b/>
                <w:sz w:val="24"/>
                <w:szCs w:val="24"/>
                <w:lang w:eastAsia="uk-UA"/>
              </w:rPr>
              <w:t xml:space="preserve">Вид технічного обслуговування та перелік операцій, що виконуються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Періодичність проведення</w:t>
            </w:r>
            <w:r/>
          </w:p>
        </w:tc>
      </w:tr>
      <w:tr>
        <w:trPr>
          <w:trHeight w:val="553"/>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ind w:left="176" w:firstLine="709"/>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 xml:space="preserve">Цілодобовий моніторинг роботи усіх систем комплексу </w:t>
            </w:r>
            <w:r>
              <w:rPr>
                <w:rFonts w:ascii="Times New Roman" w:hAnsi="Times New Roman" w:eastAsia="Times New Roman" w:cs="Times New Roman"/>
                <w:b/>
                <w:bCs/>
                <w:sz w:val="24"/>
                <w:szCs w:val="24"/>
                <w:lang w:eastAsia="uk-UA"/>
              </w:rPr>
              <w:t xml:space="preserve">«КАСКАД».</w:t>
            </w:r>
            <w:r/>
          </w:p>
        </w:tc>
      </w:tr>
      <w:tr>
        <w:trPr>
          <w:trHeight w:val="100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bCs/>
                <w:sz w:val="24"/>
                <w:szCs w:val="24"/>
                <w:lang w:eastAsia="uk-UA"/>
              </w:rPr>
              <w:t xml:space="preserve">Ц</w:t>
            </w:r>
            <w:r>
              <w:rPr>
                <w:rFonts w:ascii="Times New Roman" w:hAnsi="Times New Roman" w:eastAsia="Times New Roman" w:cs="Times New Roman"/>
                <w:sz w:val="24"/>
                <w:szCs w:val="24"/>
                <w:lang w:eastAsia="uk-UA"/>
              </w:rPr>
              <w:t xml:space="preserve">ілодобовий моніторинг роботи  усіх систем комплексу </w:t>
            </w:r>
            <w:r>
              <w:rPr>
                <w:rFonts w:ascii="Times New Roman" w:hAnsi="Times New Roman" w:eastAsia="Times New Roman" w:cs="Times New Roman"/>
                <w:bCs/>
                <w:sz w:val="24"/>
                <w:szCs w:val="24"/>
                <w:lang w:eastAsia="uk-UA"/>
              </w:rPr>
              <w:t xml:space="preserve">«КАСКАД»</w:t>
            </w:r>
            <w:r>
              <w:rPr>
                <w:rFonts w:ascii="Times New Roman" w:hAnsi="Times New Roman" w:eastAsia="Times New Roman" w:cs="Times New Roman"/>
                <w:sz w:val="24"/>
                <w:szCs w:val="24"/>
                <w:lang w:eastAsia="uk-UA"/>
              </w:rPr>
              <w:t xml:space="preserve"> (далі — цілодобовий моніторинг) проводиться в усіх режимах роботи. Він включає перевіряння показників функціонування систем комплексу у штатному режимі:</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системи мережевого електроживлення;</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системи обігріву АКБ;</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системи резервного електроживлення від АКБ;</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реєстраційного блоку;</w:t>
            </w:r>
            <w:r/>
          </w:p>
          <w:p>
            <w:pPr>
              <w:numPr>
                <w:ilvl w:val="0"/>
                <w:numId w:val="33"/>
              </w:num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каналів зв’язку між комплексом та центром обробки даних.</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Цілодобово</w:t>
            </w:r>
            <w:r/>
          </w:p>
        </w:tc>
      </w:tr>
      <w:tr>
        <w:trPr>
          <w:trHeight w:val="583"/>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bCs/>
                <w:sz w:val="24"/>
                <w:szCs w:val="24"/>
                <w:lang w:eastAsia="uk-UA"/>
              </w:rPr>
            </w:pPr>
            <w:r>
              <w:rPr>
                <w:rFonts w:ascii="Times New Roman" w:hAnsi="Times New Roman" w:eastAsia="Times New Roman" w:cs="Times New Roman"/>
                <w:bCs/>
                <w:sz w:val="24"/>
                <w:szCs w:val="24"/>
                <w:lang w:eastAsia="uk-UA"/>
              </w:rPr>
              <w:t xml:space="preserve">Відстеження і усунення помилок і збоїв у роботі системи </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Щозмінне </w:t>
            </w:r>
            <w:r/>
          </w:p>
        </w:tc>
      </w:tr>
      <w:tr>
        <w:trPr>
          <w:trHeight w:val="45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0" w:line="240" w:lineRule="auto"/>
              <w:shd w:val="clear" w:color="auto" w:fill="ffffff"/>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Технічний ( контрольний) огляд та обстеження </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 Візуальний контроль наявності та цілісності зовнішніх антенних пристроїв, пломб</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2. Візуальний контроль цілісності сигнальних кабелів, кабелів електроживлення та заземлення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507"/>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0" w:line="240" w:lineRule="auto"/>
              <w:shd w:val="clear" w:color="auto" w:fill="ffffff"/>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Технічне обслуговування </w:t>
            </w:r>
            <w:r/>
          </w:p>
        </w:tc>
      </w:tr>
      <w:tr>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Детальний огляду та чистки блоків всієї апаратури без розтину блоків, захисних боксів, конструкцій, кріплень, перемикачів, роз'ємів і т.п. видалення пилу та забруднення внаслідок природних факторів та зносу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929"/>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55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 Перевірка та регулювання електротехнічних компонент (батарейні комплекти, блоки живлення, плати, електричні з'єднання) та їх заміни при необхідності (за умови надання Замовником)</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53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4. Перевірка справності, надійності та відповідності заземлення та елементів грозозахисту до вимог технічної документації з вимірюванням</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34"/>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 Контрольний заряд-розряд батарейних комплектів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6. Перевірка стану джерел живлення електроенергією,   дистанційного управління та сигналізації</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7. Чистка  оптичних елементів та інфрачервоних прожекторів комплексу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8. Перевірка та при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методики. </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 xml:space="preserve">9. Заміни елементів та вузлів комплексу, гермопрокладок та інших матеріалів, що мають обмежений термін служби (зберігання)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bookmarkStart w:id="4" w:name="__DdeLink__3409_1807735482"/>
            <w:r>
              <w:rPr>
                <w:rFonts w:ascii="Times New Roman" w:hAnsi="Times New Roman" w:eastAsia="Times New Roman" w:cs="Times New Roman"/>
                <w:sz w:val="24"/>
                <w:szCs w:val="24"/>
                <w:lang w:eastAsia="uk-UA"/>
              </w:rPr>
              <w:t xml:space="preserve">При потребі</w:t>
            </w:r>
            <w:bookmarkEnd w:id="4"/>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10. Заключне вимірювання параметрів і характеристик апаратури і доведення їх, при необхідності, до встановлених норм</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7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11. Аналіз відповідності поточного навантаження апаратному забезпеченню, що використовується, тестування продуктивності окремих операцій</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12. Встановлення критичних оновлень* та/або профілактика системного програмного забезпечення, перевірка реєстрів, журналів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77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13. Тестування відновлення працездатності під час збоїв окремих компонентів ПЗ без втрати даних</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highlight w:val="green"/>
                <w:lang w:eastAsia="uk-UA"/>
              </w:rPr>
            </w:pPr>
            <w:r>
              <w:rPr>
                <w:rFonts w:ascii="Times New Roman" w:hAnsi="Times New Roman" w:eastAsia="Times New Roman" w:cs="Times New Roman"/>
                <w:sz w:val="24"/>
                <w:szCs w:val="24"/>
                <w:lang w:eastAsia="uk-UA"/>
              </w:rPr>
              <w:t xml:space="preserve">При потребі</w:t>
            </w:r>
            <w:r/>
          </w:p>
        </w:tc>
      </w:tr>
      <w:tr>
        <w:trPr>
          <w:trHeight w:val="35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both"/>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14. Періодичне оновлення програмного забезпечення*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both"/>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15. Ведення експлуатаційної документації</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cs="Times New Roman"/>
                <w:b/>
                <w:sz w:val="24"/>
                <w:szCs w:val="24"/>
              </w:rPr>
              <w:t xml:space="preserve">Сезонне</w:t>
            </w:r>
            <w:r>
              <w:rPr>
                <w:rFonts w:ascii="Times New Roman" w:hAnsi="Times New Roman" w:cs="Times New Roman"/>
                <w:b/>
                <w:spacing w:val="49"/>
                <w:sz w:val="24"/>
                <w:szCs w:val="24"/>
              </w:rPr>
              <w:t xml:space="preserve"> </w:t>
            </w:r>
            <w:r>
              <w:rPr>
                <w:rFonts w:ascii="Times New Roman" w:hAnsi="Times New Roman" w:cs="Times New Roman"/>
                <w:b/>
                <w:sz w:val="24"/>
                <w:szCs w:val="24"/>
              </w:rPr>
              <w:t xml:space="preserve">обслуговування</w:t>
            </w:r>
            <w:r>
              <w:rPr>
                <w:rFonts w:ascii="Times New Roman" w:hAnsi="Times New Roman" w:cs="Times New Roman"/>
                <w:b/>
                <w:spacing w:val="45"/>
                <w:sz w:val="24"/>
                <w:szCs w:val="24"/>
              </w:rPr>
              <w:t xml:space="preserve"> </w:t>
            </w:r>
            <w:r>
              <w:rPr>
                <w:rFonts w:ascii="Times New Roman" w:hAnsi="Times New Roman" w:cs="Times New Roman"/>
                <w:sz w:val="24"/>
                <w:szCs w:val="24"/>
              </w:rPr>
              <w:t xml:space="preserve">(СО)</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jc w:val="both"/>
              <w:spacing w:after="0"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lang w:val="ru-RU"/>
              </w:rPr>
              <w:t xml:space="preserve">1.</w:t>
            </w:r>
            <w:r>
              <w:rPr>
                <w:rFonts w:ascii="Times New Roman" w:hAnsi="Times New Roman" w:cs="Times New Roman"/>
                <w:sz w:val="24"/>
                <w:szCs w:val="24"/>
              </w:rPr>
              <w:t xml:space="preserve">Робіт в обсязі ТО № 1 ;</w:t>
            </w:r>
            <w:r/>
          </w:p>
        </w:tc>
        <w:tc>
          <w:tcPr>
            <w:shd w:val="clear" w:color="auto" w:fill="auto"/>
            <w:tcBorders>
              <w:top w:val="single" w:color="00000A" w:sz="4" w:space="0"/>
              <w:left w:val="single" w:color="00000A" w:sz="4" w:space="0"/>
              <w:right w:val="single" w:color="00000A" w:sz="4" w:space="0"/>
            </w:tcBorders>
            <w:tcW w:w="2550" w:type="dxa"/>
            <w:vMerge w:val="restart"/>
            <w:textDirection w:val="lrTb"/>
            <w:noWrap w:val="false"/>
          </w:tcPr>
          <w:p>
            <w:pPr>
              <w:pStyle w:val="782"/>
              <w:ind w:left="309"/>
              <w:rPr>
                <w:sz w:val="24"/>
                <w:szCs w:val="24"/>
              </w:rPr>
            </w:pPr>
            <w:r>
              <w:rPr>
                <w:sz w:val="24"/>
                <w:szCs w:val="24"/>
                <w:lang w:val="ru-RU"/>
              </w:rPr>
              <w:t xml:space="preserve">д</w:t>
            </w:r>
            <w:r>
              <w:rPr>
                <w:sz w:val="24"/>
                <w:szCs w:val="24"/>
              </w:rPr>
              <w:t xml:space="preserve">вічі</w:t>
            </w:r>
            <w:r>
              <w:rPr>
                <w:sz w:val="24"/>
                <w:szCs w:val="24"/>
                <w:lang w:val="ru-RU"/>
              </w:rPr>
              <w:t xml:space="preserve"> </w:t>
            </w:r>
            <w:r>
              <w:rPr>
                <w:sz w:val="24"/>
                <w:szCs w:val="24"/>
              </w:rPr>
              <w:t xml:space="preserve">на</w:t>
            </w:r>
            <w:r>
              <w:rPr>
                <w:sz w:val="24"/>
                <w:szCs w:val="24"/>
                <w:lang w:val="ru-RU"/>
              </w:rPr>
              <w:t xml:space="preserve"> </w:t>
            </w:r>
            <w:r>
              <w:rPr>
                <w:sz w:val="24"/>
                <w:szCs w:val="24"/>
              </w:rPr>
              <w:t xml:space="preserve">рік</w:t>
            </w:r>
            <w:r>
              <w:rPr>
                <w:sz w:val="24"/>
                <w:szCs w:val="24"/>
                <w:lang w:val="ru-RU"/>
              </w:rPr>
              <w:t xml:space="preserve"> </w:t>
            </w:r>
            <w:r>
              <w:rPr>
                <w:sz w:val="24"/>
                <w:szCs w:val="24"/>
              </w:rPr>
              <w:t xml:space="preserve">у</w:t>
            </w:r>
            <w:r/>
          </w:p>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жовтні-листопаді та квітні-травні</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2. Заміни елементів та вузлів комплексу, гермо прокладок та інших матеріалів, що мають обмежений термін служби (зберігання)</w:t>
            </w:r>
            <w:r/>
          </w:p>
        </w:tc>
        <w:tc>
          <w:tcPr>
            <w:shd w:val="clear" w:color="auto" w:fill="auto"/>
            <w:tcBorders>
              <w:left w:val="single" w:color="00000A" w:sz="4" w:space="0"/>
              <w:bottom w:val="single" w:color="00000A" w:sz="4" w:space="0"/>
              <w:right w:val="single" w:color="00000A" w:sz="4" w:space="0"/>
            </w:tcBorders>
            <w:tcW w:w="2550" w:type="dxa"/>
            <w:vMerge w:val="continue"/>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Технічна підтримка</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rPr>
              <w:t xml:space="preserve">Забезпечення виокремленим менеджером з обробки заявок і звернень.</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період виконання договору </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Віддалене усунення аварій та збоїв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потребі</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Аварійний виїзд ремонтної бригади для усунення аварій та збоїв (у разі відсутності тех. можливості віддаленого усунення аварій та збоїв)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потребі</w:t>
            </w:r>
            <w:r/>
          </w:p>
        </w:tc>
      </w:tr>
    </w:tbl>
    <w:p>
      <w:pPr>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bCs/>
          <w:sz w:val="24"/>
          <w:szCs w:val="24"/>
          <w:lang w:eastAsia="uk-UA"/>
        </w:rPr>
        <w:t xml:space="preserve">Примітка: “*” - </w:t>
      </w:r>
      <w:r>
        <w:rPr>
          <w:rFonts w:ascii="Times New Roman" w:hAnsi="Times New Roman" w:eastAsia="Times New Roman" w:cs="Times New Roman"/>
          <w:bCs/>
          <w:sz w:val="24"/>
          <w:szCs w:val="24"/>
          <w:lang w:eastAsia="uk-UA"/>
        </w:rPr>
        <w:t xml:space="preserve">оновлення програмного забезпечення передбачене цими Технічними вимогами передбачається при наявності такого оновлення в межах існуючого функціоналу, розширення або заміна функціоналу не передбачається</w:t>
      </w:r>
      <w:r/>
    </w:p>
    <w:p>
      <w:pPr>
        <w:ind w:left="360"/>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4. Вимоги до послуг із супроводження та технічного обслуговування</w:t>
      </w:r>
      <w:r>
        <w:rPr>
          <w:rFonts w:ascii="Times New Roman" w:hAnsi="Times New Roman" w:eastAsia="Times New Roman" w:cs="Times New Roman"/>
          <w:sz w:val="24"/>
          <w:szCs w:val="24"/>
          <w:lang w:eastAsia="uk-UA"/>
        </w:rPr>
        <w:t xml:space="preserve"> </w:t>
      </w:r>
      <w:r>
        <w:rPr>
          <w:rFonts w:ascii="Times New Roman" w:hAnsi="Times New Roman" w:eastAsia="Times New Roman" w:cs="Times New Roman"/>
          <w:b/>
          <w:sz w:val="24"/>
          <w:szCs w:val="24"/>
          <w:lang w:eastAsia="uk-UA"/>
        </w:rPr>
        <w:t xml:space="preserve">Комплексів автоматичної фото/відеофіксації правопорушень у сфері безпеки дорожнього руху “КАСКАД”».</w:t>
      </w:r>
      <w:r/>
    </w:p>
    <w:p>
      <w:pPr>
        <w:numPr>
          <w:ilvl w:val="0"/>
          <w:numId w:val="35"/>
        </w:numPr>
        <w:contextualSpacing/>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Технічне обслуговування Комплексів «КАСКАД» здійснюють уповноважені кваліфіковані фахівці з підтверджуючим посвідченням, та/або сертифікатом, та/або </w:t>
      </w:r>
      <w:r>
        <w:rPr>
          <w:rFonts w:ascii="Times New Roman" w:hAnsi="Times New Roman" w:eastAsia="Calibri" w:cs="Times New Roman"/>
          <w:sz w:val="24"/>
          <w:szCs w:val="24"/>
          <w:shd w:val="clear" w:color="auto" w:fill="ffffff"/>
          <w:lang w:eastAsia="ru-RU"/>
        </w:rPr>
        <w:t xml:space="preserve">дипломом, та/або договором, тощо, виданих виробником або офіційним представником виробника Комплексів «КАСКАД».</w:t>
      </w:r>
      <w:r/>
    </w:p>
    <w:p>
      <w:pPr>
        <w:numPr>
          <w:ilvl w:val="0"/>
          <w:numId w:val="35"/>
        </w:numPr>
        <w:contextualSpacing/>
        <w:jc w:val="both"/>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Під час </w:t>
      </w:r>
      <w:r>
        <w:rPr>
          <w:rFonts w:ascii="Times New Roman" w:hAnsi="Times New Roman" w:eastAsia="Calibri" w:cs="Times New Roman"/>
          <w:sz w:val="24"/>
          <w:szCs w:val="24"/>
          <w:shd w:val="clear" w:color="auto" w:fill="ffffff"/>
          <w:lang w:eastAsia="ru-RU"/>
        </w:rPr>
        <w:t xml:space="preserve">надання послуг з технічної екс</w:t>
      </w:r>
      <w:r>
        <w:rPr>
          <w:rFonts w:ascii="Times New Roman" w:hAnsi="Times New Roman" w:eastAsia="Calibri" w:cs="Times New Roman"/>
          <w:sz w:val="24"/>
          <w:szCs w:val="24"/>
          <w:shd w:val="clear" w:color="auto" w:fill="ffffff"/>
          <w:lang w:eastAsia="ru-RU"/>
        </w:rPr>
        <w:t xml:space="preserve">плуатації Виконавцем використовуються власні матеріали, інструмент, обладнання механізми, транспорт та засоби вимірювань потрібні для надання послуг та підтримання працездатності Комплексів «КАСКАД», відповідно до технічної та експлуатаційної документації.</w:t>
      </w:r>
      <w:r/>
    </w:p>
    <w:p>
      <w:pPr>
        <w:numPr>
          <w:ilvl w:val="0"/>
          <w:numId w:val="35"/>
        </w:numPr>
        <w:contextualSpacing/>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Calibri" w:cs="Times New Roman"/>
          <w:sz w:val="24"/>
          <w:szCs w:val="24"/>
          <w:shd w:val="clear" w:color="auto" w:fill="ffffff"/>
          <w:lang w:eastAsia="ru-RU"/>
        </w:rPr>
        <w:t xml:space="preserve"> Результати послуг заносяться в журнали технічного стану (формуляр). </w:t>
      </w:r>
      <w:r/>
    </w:p>
    <w:p>
      <w:pPr>
        <w:numPr>
          <w:ilvl w:val="0"/>
          <w:numId w:val="35"/>
        </w:numPr>
        <w:contextualSpacing/>
        <w:jc w:val="both"/>
        <w:spacing w:after="0" w:line="240" w:lineRule="auto"/>
        <w:shd w:val="clear" w:color="auto" w:fill="ffffff"/>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По результатам виконаних послуг Виконавцем надається інформація стосовно кожного Комплексу «КАСКАД»:</w:t>
      </w:r>
      <w:r/>
    </w:p>
    <w:p>
      <w:pPr>
        <w:contextualSpacing/>
        <w:ind w:left="72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Calibri" w:cs="Times New Roman"/>
          <w:sz w:val="24"/>
          <w:szCs w:val="24"/>
          <w:shd w:val="clear" w:color="auto" w:fill="ffffff"/>
          <w:lang w:eastAsia="ru-RU"/>
        </w:rPr>
        <w:t xml:space="preserve">- </w:t>
      </w:r>
      <w:r>
        <w:rPr>
          <w:rFonts w:ascii="Times New Roman" w:hAnsi="Times New Roman" w:eastAsia="Times New Roman" w:cs="Times New Roman"/>
          <w:sz w:val="24"/>
          <w:szCs w:val="24"/>
          <w:lang w:eastAsia="ru-RU"/>
        </w:rPr>
        <w:t xml:space="preserve">результати технічного обстеження;</w:t>
      </w:r>
      <w:r/>
    </w:p>
    <w:p>
      <w:pPr>
        <w:contextualSpacing/>
        <w:ind w:left="72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оцінка технічного стану;</w:t>
      </w:r>
      <w:r/>
    </w:p>
    <w:p>
      <w:pPr>
        <w:contextualSpacing/>
        <w:ind w:left="72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рекомендації щодо подальшої експлуатації, ремонту, реконструкції, відновлення, оновлення, заміни або виведення з експлуатації.</w:t>
      </w:r>
      <w:r/>
    </w:p>
    <w:p>
      <w:pPr>
        <w:numPr>
          <w:ilvl w:val="0"/>
          <w:numId w:val="35"/>
        </w:numPr>
        <w:contextualSpacing/>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 Усі послуги з технічної експлуатації виконуються з дотриманням </w:t>
      </w:r>
      <w:hyperlink r:id="rId11" w:tooltip="https://zakon.rada.gov.ua/laws/show/z0093-98" w:history="1">
        <w:r>
          <w:rPr>
            <w:rFonts w:ascii="Times New Roman" w:hAnsi="Times New Roman" w:eastAsia="Calibri" w:cs="Times New Roman"/>
            <w:sz w:val="24"/>
            <w:szCs w:val="24"/>
            <w:shd w:val="clear" w:color="auto" w:fill="ffffff"/>
            <w:lang w:eastAsia="ru-RU"/>
          </w:rPr>
          <w:t xml:space="preserve">Правил безпечної експлуатації електроустановок споживачів</w:t>
        </w:r>
      </w:hyperlink>
      <w:r>
        <w:rPr>
          <w:rFonts w:ascii="Times New Roman" w:hAnsi="Times New Roman" w:eastAsia="Calibri" w:cs="Times New Roman"/>
          <w:sz w:val="24"/>
          <w:szCs w:val="24"/>
          <w:shd w:val="clear" w:color="auto" w:fill="ffffff"/>
          <w:lang w:eastAsia="ru-RU"/>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 </w:t>
      </w:r>
      <w:hyperlink r:id="rId12" w:tooltip="https://zakon.rada.gov.ua/laws/show/z0252-15#_blank" w:anchor="_blank" w:history="1">
        <w:r>
          <w:rPr>
            <w:rFonts w:ascii="Times New Roman" w:hAnsi="Times New Roman" w:eastAsia="Calibri" w:cs="Times New Roman"/>
            <w:sz w:val="24"/>
            <w:szCs w:val="24"/>
            <w:lang w:eastAsia="ru-RU"/>
          </w:rPr>
          <w:t xml:space="preserve">Правил пожежної безпеки в Україні</w:t>
        </w:r>
      </w:hyperlink>
      <w:r>
        <w:rPr>
          <w:rFonts w:ascii="Times New Roman" w:hAnsi="Times New Roman" w:eastAsia="Calibri" w:cs="Times New Roman"/>
          <w:sz w:val="24"/>
          <w:szCs w:val="24"/>
          <w:shd w:val="clear" w:color="auto" w:fill="ffffff"/>
          <w:lang w:eastAsia="ru-RU"/>
        </w:rPr>
        <w:t xml:space="preserve">, затвердж</w:t>
      </w:r>
      <w:r>
        <w:rPr>
          <w:rFonts w:ascii="Times New Roman" w:hAnsi="Times New Roman" w:eastAsia="Calibri" w:cs="Times New Roman"/>
          <w:sz w:val="24"/>
          <w:szCs w:val="24"/>
          <w:shd w:val="clear" w:color="auto" w:fill="ffffff"/>
          <w:lang w:eastAsia="ru-RU"/>
        </w:rPr>
        <w:t xml:space="preserve">ених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 «КАСКАД».</w:t>
      </w:r>
      <w:r/>
    </w:p>
    <w:p>
      <w:pPr>
        <w:numPr>
          <w:ilvl w:val="0"/>
          <w:numId w:val="35"/>
        </w:numPr>
        <w:contextualSpacing/>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Послуги з технічного обслуговування Комплексів «КАСКАД» плануються так, щоб усі заходи проводилися без зупинки роботи за рахунок перемикання на резервні частини з можливою втратою стану користувальницьких і службових сесій.</w:t>
      </w:r>
      <w:r/>
    </w:p>
    <w:p>
      <w:pPr>
        <w:numPr>
          <w:ilvl w:val="0"/>
          <w:numId w:val="35"/>
        </w:numPr>
        <w:contextualSpacing/>
        <w:jc w:val="both"/>
        <w:spacing w:after="0" w:line="240" w:lineRule="auto"/>
        <w:rPr>
          <w:rFonts w:ascii="Times New Roman" w:hAnsi="Times New Roman" w:eastAsia="Calibri" w:cs="Times New Roman"/>
          <w:sz w:val="24"/>
          <w:szCs w:val="24"/>
          <w:highlight w:val="white"/>
          <w:lang w:eastAsia="ru-RU"/>
        </w:rPr>
      </w:pPr>
      <w:r>
        <w:rPr>
          <w:rFonts w:ascii="Times New Roman" w:hAnsi="Times New Roman" w:eastAsia="Calibri" w:cs="Times New Roman"/>
          <w:sz w:val="24"/>
          <w:szCs w:val="24"/>
          <w:shd w:val="clear" w:color="auto" w:fill="ffffff"/>
          <w:lang w:eastAsia="ru-RU"/>
        </w:rPr>
        <w:t xml:space="preserve">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r/>
    </w:p>
    <w:p>
      <w:pPr>
        <w:numPr>
          <w:ilvl w:val="0"/>
          <w:numId w:val="35"/>
        </w:numPr>
        <w:contextualSpacing/>
        <w:jc w:val="both"/>
        <w:spacing w:after="0" w:line="240" w:lineRule="auto"/>
        <w:rPr>
          <w:rFonts w:ascii="Times New Roman" w:hAnsi="Times New Roman" w:eastAsia="Calibri" w:cs="Times New Roman"/>
          <w:sz w:val="24"/>
          <w:szCs w:val="24"/>
          <w:highlight w:val="white"/>
          <w:lang w:eastAsia="ru-RU"/>
        </w:rPr>
      </w:pPr>
      <w:r>
        <w:rPr>
          <w:rFonts w:ascii="Times New Roman" w:hAnsi="Times New Roman" w:eastAsia="Calibri" w:cs="Times New Roman"/>
          <w:sz w:val="24"/>
          <w:szCs w:val="24"/>
          <w:shd w:val="clear" w:color="auto" w:fill="ffffff"/>
          <w:lang w:eastAsia="ru-RU"/>
        </w:rPr>
        <w:t xml:space="preserve">Послуги надаються з 01.01.2024 по 31.12.2024 року.</w:t>
      </w:r>
      <w:r/>
    </w:p>
    <w:p>
      <w:pPr>
        <w:contextualSpacing/>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p>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Додаткова інформація.</w:t>
      </w:r>
      <w:r/>
    </w:p>
    <w:p>
      <w:pPr>
        <w:ind w:firstLine="709"/>
        <w:jc w:val="both"/>
        <w:spacing w:after="0" w:line="240" w:lineRule="auto"/>
        <w:rPr>
          <w:rFonts w:ascii="Times New Roman" w:hAnsi="Times New Roman" w:eastAsia="Times New Roman" w:cs="Times New Roman"/>
          <w:b/>
          <w:bCs/>
          <w:i/>
          <w:iCs/>
          <w:sz w:val="24"/>
          <w:szCs w:val="24"/>
          <w:lang w:eastAsia="uk-UA"/>
        </w:rPr>
      </w:pPr>
      <w:r>
        <w:rPr>
          <w:rFonts w:ascii="Times New Roman" w:hAnsi="Times New Roman" w:eastAsia="Times New Roman" w:cs="Times New Roman"/>
          <w:b/>
          <w:bCs/>
          <w:i/>
          <w:iCs/>
          <w:sz w:val="24"/>
          <w:szCs w:val="24"/>
          <w:lang w:eastAsia="uk-UA"/>
        </w:rPr>
        <w:t xml:space="preserve">У разі в</w:t>
      </w:r>
      <w:r>
        <w:rPr>
          <w:rFonts w:ascii="Times New Roman" w:hAnsi="Times New Roman" w:eastAsia="Times New Roman" w:cs="Times New Roman"/>
          <w:b/>
          <w:bCs/>
          <w:i/>
          <w:iCs/>
          <w:sz w:val="24"/>
          <w:szCs w:val="24"/>
          <w:lang w:eastAsia="uk-UA"/>
        </w:rPr>
        <w:t xml:space="preserve">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w:t>
      </w:r>
      <w:r>
        <w:rPr>
          <w:rFonts w:ascii="Times New Roman" w:hAnsi="Times New Roman" w:eastAsia="Times New Roman" w:cs="Times New Roman"/>
          <w:b/>
          <w:bCs/>
          <w:i/>
          <w:iCs/>
          <w:sz w:val="24"/>
          <w:szCs w:val="24"/>
          <w:lang w:eastAsia="uk-UA"/>
        </w:rPr>
        <w:t xml:space="preserve">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Pr>
          <w:rFonts w:ascii="Times New Roman" w:hAnsi="Times New Roman" w:eastAsia="Times New Roman" w:cs="Times New Roman"/>
          <w:b/>
          <w:bCs/>
          <w:i/>
          <w:iCs/>
          <w:sz w:val="24"/>
          <w:szCs w:val="24"/>
          <w:u w:val="single"/>
          <w:lang w:eastAsia="uk-UA"/>
        </w:rPr>
        <w:t xml:space="preserve">"або еквівалент"</w:t>
      </w:r>
      <w:r>
        <w:rPr>
          <w:rFonts w:ascii="Times New Roman" w:hAnsi="Times New Roman" w:eastAsia="Times New Roman" w:cs="Times New Roman"/>
          <w:b/>
          <w:bCs/>
          <w:i/>
          <w:iCs/>
          <w:sz w:val="24"/>
          <w:szCs w:val="24"/>
          <w:lang w:eastAsia="uk-UA"/>
        </w:rPr>
        <w:t xml:space="preserve">.</w:t>
      </w:r>
      <w:r/>
    </w:p>
    <w:p>
      <w:pPr>
        <w:ind w:right="-1"/>
        <w:jc w:val="both"/>
        <w:spacing w:after="0" w:line="240" w:lineRule="auto"/>
        <w:widowControl w:val="off"/>
        <w:rPr>
          <w:rFonts w:ascii="Times New Roman" w:hAnsi="Times New Roman" w:eastAsia="Times New Roman" w:cs="Times New Roman"/>
          <w:b/>
          <w:bCs/>
          <w:i/>
          <w:iCs/>
          <w:sz w:val="24"/>
          <w:szCs w:val="24"/>
          <w:u w:val="single"/>
          <w:lang w:eastAsia="uk-UA"/>
        </w:rPr>
      </w:pPr>
      <w:r>
        <w:rPr>
          <w:rFonts w:ascii="Times New Roman" w:hAnsi="Times New Roman" w:eastAsia="Times New Roman" w:cs="Times New Roman"/>
          <w:b/>
          <w:bCs/>
          <w:i/>
          <w:iCs/>
          <w:sz w:val="24"/>
          <w:szCs w:val="24"/>
          <w:lang w:eastAsia="uk-UA"/>
        </w:rPr>
        <w:t xml:space="preserve">У разі використання в тендерній документації посилання на к</w:t>
      </w:r>
      <w:r>
        <w:rPr>
          <w:rFonts w:ascii="Times New Roman" w:hAnsi="Times New Roman" w:eastAsia="Times New Roman" w:cs="Times New Roman"/>
          <w:b/>
          <w:bCs/>
          <w:i/>
          <w:iCs/>
          <w:sz w:val="24"/>
          <w:szCs w:val="24"/>
          <w:lang w:eastAsia="uk-UA"/>
        </w:rPr>
        <w:t xml:space="preserve">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Pr>
          <w:rFonts w:ascii="Times New Roman" w:hAnsi="Times New Roman" w:eastAsia="Times New Roman" w:cs="Times New Roman"/>
          <w:b/>
          <w:bCs/>
          <w:i/>
          <w:iCs/>
          <w:sz w:val="24"/>
          <w:szCs w:val="24"/>
          <w:u w:val="single"/>
          <w:lang w:eastAsia="uk-UA"/>
        </w:rPr>
        <w:t xml:space="preserve">"або еквівалент"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3 006 870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w:t>
      </w:r>
      <w:r>
        <w:rPr>
          <w:rFonts w:ascii="Times New Roman" w:hAnsi="Times New Roman" w:eastAsia="Times New Roman" w:cs="Times New Roman"/>
          <w:sz w:val="24"/>
          <w:szCs w:val="24"/>
          <w:lang w:eastAsia="ru-RU"/>
        </w:rPr>
        <w:t xml:space="preserve"> мільйон</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шість тисяч вісімсот сімдесят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Pr>
          <w:rFonts w:ascii="Times New Roman" w:hAnsi="Times New Roman" w:eastAsia="Times New Roman" w:cs="Times New Roman"/>
          <w:sz w:val="24"/>
          <w:szCs w:val="24"/>
          <w:lang w:eastAsia="ru-RU"/>
        </w:rPr>
        <w:t xml:space="preserve">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Droid Sans Fallback">
    <w:panose1 w:val="020B0502000000000001"/>
  </w:font>
  <w:font w:name="Cambria">
    <w:panose1 w:val="02020603050405020304"/>
  </w:font>
  <w:font w:name="Liberation Sans">
    <w:panose1 w:val="020B0604020202020204"/>
  </w:font>
  <w:font w:name="Wingdings">
    <w:panose1 w:val="05010000000000000000"/>
  </w:font>
  <w:font w:name="Courier New">
    <w:panose1 w:val="02070309020205020404"/>
  </w:font>
  <w:font w:name="Symbol">
    <w:panose1 w:val="05010000000000000000"/>
  </w:font>
  <w:font w:name="FreeSans">
    <w:panose1 w:val="020B05040202020202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4">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0" w:firstLine="0"/>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536" w:hanging="360"/>
      </w:pPr>
    </w:lvl>
    <w:lvl w:ilvl="1">
      <w:start w:val="1"/>
      <w:numFmt w:val="lowerLetter"/>
      <w:isLgl w:val="false"/>
      <w:suff w:val="tab"/>
      <w:lvlText w:val="%2."/>
      <w:lvlJc w:val="left"/>
      <w:pPr>
        <w:ind w:left="1256" w:hanging="360"/>
      </w:pPr>
    </w:lvl>
    <w:lvl w:ilvl="2">
      <w:start w:val="1"/>
      <w:numFmt w:val="lowerRoman"/>
      <w:isLgl w:val="false"/>
      <w:suff w:val="tab"/>
      <w:lvlText w:val="%3."/>
      <w:lvlJc w:val="right"/>
      <w:pPr>
        <w:ind w:left="1976" w:hanging="180"/>
      </w:pPr>
    </w:lvl>
    <w:lvl w:ilvl="3">
      <w:start w:val="1"/>
      <w:numFmt w:val="decimal"/>
      <w:isLgl w:val="false"/>
      <w:suff w:val="tab"/>
      <w:lvlText w:val="%4."/>
      <w:lvlJc w:val="left"/>
      <w:pPr>
        <w:ind w:left="2696" w:hanging="360"/>
      </w:pPr>
    </w:lvl>
    <w:lvl w:ilvl="4">
      <w:start w:val="1"/>
      <w:numFmt w:val="lowerLetter"/>
      <w:isLgl w:val="false"/>
      <w:suff w:val="tab"/>
      <w:lvlText w:val="%5."/>
      <w:lvlJc w:val="left"/>
      <w:pPr>
        <w:ind w:left="3416" w:hanging="360"/>
      </w:pPr>
    </w:lvl>
    <w:lvl w:ilvl="5">
      <w:start w:val="1"/>
      <w:numFmt w:val="lowerRoman"/>
      <w:isLgl w:val="false"/>
      <w:suff w:val="tab"/>
      <w:lvlText w:val="%6."/>
      <w:lvlJc w:val="right"/>
      <w:pPr>
        <w:ind w:left="4136" w:hanging="180"/>
      </w:pPr>
    </w:lvl>
    <w:lvl w:ilvl="6">
      <w:start w:val="1"/>
      <w:numFmt w:val="decimal"/>
      <w:isLgl w:val="false"/>
      <w:suff w:val="tab"/>
      <w:lvlText w:val="%7."/>
      <w:lvlJc w:val="left"/>
      <w:pPr>
        <w:ind w:left="4856" w:hanging="360"/>
      </w:pPr>
    </w:lvl>
    <w:lvl w:ilvl="7">
      <w:start w:val="1"/>
      <w:numFmt w:val="lowerLetter"/>
      <w:isLgl w:val="false"/>
      <w:suff w:val="tab"/>
      <w:lvlText w:val="%8."/>
      <w:lvlJc w:val="left"/>
      <w:pPr>
        <w:ind w:left="5576" w:hanging="360"/>
      </w:pPr>
    </w:lvl>
    <w:lvl w:ilvl="8">
      <w:start w:val="1"/>
      <w:numFmt w:val="lowerRoman"/>
      <w:isLgl w:val="false"/>
      <w:suff w:val="tab"/>
      <w:lvlText w:val="%9."/>
      <w:lvlJc w:val="right"/>
      <w:pPr>
        <w:ind w:left="6296" w:hanging="180"/>
      </w:p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32">
    <w:multiLevelType w:val="hybridMultilevel"/>
    <w:lvl w:ilvl="0">
      <w:start w:val="1"/>
      <w:numFmt w:val="decimal"/>
      <w:isLgl w:val="false"/>
      <w:suff w:val="tab"/>
      <w:lvlText w:val="%1."/>
      <w:lvlJc w:val="left"/>
      <w:pPr>
        <w:ind w:left="360" w:hanging="360"/>
      </w:pPr>
      <w:rPr>
        <w:rFonts w:hint="default"/>
        <w:b/>
      </w:rPr>
    </w:lvl>
    <w:lvl w:ilvl="1">
      <w:start w:val="1"/>
      <w:numFmt w:val="decimal"/>
      <w:isLgl/>
      <w:suff w:val="tab"/>
      <w:lvlText w:val="%1.%2."/>
      <w:lvlJc w:val="left"/>
      <w:pPr>
        <w:ind w:left="786" w:hanging="360"/>
      </w:pPr>
      <w:rPr>
        <w:rFonts w:hint="default"/>
        <w:b w:val="0"/>
      </w:rPr>
    </w:lvl>
    <w:lvl w:ilvl="2">
      <w:start w:val="1"/>
      <w:numFmt w:val="decimal"/>
      <w:isLgl/>
      <w:suff w:val="tab"/>
      <w:lvlText w:val="%1.%2.%3."/>
      <w:lvlJc w:val="left"/>
      <w:pPr>
        <w:ind w:left="1430" w:hanging="720"/>
      </w:pPr>
      <w:rPr>
        <w:rFonts w:hint="default"/>
      </w:rPr>
    </w:lvl>
    <w:lvl w:ilvl="3">
      <w:start w:val="1"/>
      <w:numFmt w:val="decimal"/>
      <w:isLgl/>
      <w:suff w:val="tab"/>
      <w:lvlText w:val="%1.%2.%3.%4."/>
      <w:lvlJc w:val="left"/>
      <w:pPr>
        <w:ind w:left="1571" w:hanging="720"/>
      </w:pPr>
      <w:rPr>
        <w:rFonts w:hint="default"/>
      </w:rPr>
    </w:lvl>
    <w:lvl w:ilvl="4">
      <w:start w:val="1"/>
      <w:numFmt w:val="decimal"/>
      <w:isLgl/>
      <w:suff w:val="tab"/>
      <w:lvlText w:val="%1.%2.%3.%4.%5."/>
      <w:lvlJc w:val="left"/>
      <w:pPr>
        <w:ind w:left="1931" w:hanging="1080"/>
      </w:pPr>
      <w:rPr>
        <w:rFonts w:hint="default"/>
      </w:rPr>
    </w:lvl>
    <w:lvl w:ilvl="5">
      <w:start w:val="1"/>
      <w:numFmt w:val="decimal"/>
      <w:isLgl/>
      <w:suff w:val="tab"/>
      <w:lvlText w:val="%1.%2.%3.%4.%5.%6."/>
      <w:lvlJc w:val="left"/>
      <w:pPr>
        <w:ind w:left="1931" w:hanging="1080"/>
      </w:pPr>
      <w:rPr>
        <w:rFonts w:hint="default"/>
      </w:rPr>
    </w:lvl>
    <w:lvl w:ilvl="6">
      <w:start w:val="1"/>
      <w:numFmt w:val="decimal"/>
      <w:isLgl/>
      <w:suff w:val="tab"/>
      <w:lvlText w:val="%1.%2.%3.%4.%5.%6.%7."/>
      <w:lvlJc w:val="left"/>
      <w:pPr>
        <w:ind w:left="2291" w:hanging="1440"/>
      </w:pPr>
      <w:rPr>
        <w:rFonts w:hint="default"/>
      </w:rPr>
    </w:lvl>
    <w:lvl w:ilvl="7">
      <w:start w:val="1"/>
      <w:numFmt w:val="decimal"/>
      <w:isLgl/>
      <w:suff w:val="tab"/>
      <w:lvlText w:val="%1.%2.%3.%4.%5.%6.%7.%8."/>
      <w:lvlJc w:val="left"/>
      <w:pPr>
        <w:ind w:left="2291" w:hanging="1440"/>
      </w:pPr>
      <w:rPr>
        <w:rFonts w:hint="default"/>
      </w:rPr>
    </w:lvl>
    <w:lvl w:ilvl="8">
      <w:start w:val="1"/>
      <w:numFmt w:val="decimal"/>
      <w:isLgl/>
      <w:suff w:val="tab"/>
      <w:lvlText w:val="%1.%2.%3.%4.%5.%6.%7.%8.%9."/>
      <w:lvlJc w:val="left"/>
      <w:pPr>
        <w:ind w:left="2651" w:hanging="1800"/>
      </w:pPr>
      <w:rPr>
        <w:rFonts w:hint="default"/>
      </w:rPr>
    </w:lvl>
  </w:abstractNum>
  <w:abstractNum w:abstractNumId="33">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6">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0">
    <w:multiLevelType w:val="hybridMultilevel"/>
    <w:lvl w:ilvl="0">
      <w:start w:val="3"/>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5464" w:hanging="360"/>
      </w:pPr>
      <w:rPr>
        <w:rFonts w:ascii="Times New Roman" w:hAnsi="Times New Roman"/>
        <w:b/>
        <w:sz w:val="24"/>
      </w:rPr>
    </w:lvl>
    <w:lvl w:ilvl="2">
      <w:start w:val="1"/>
      <w:numFmt w:val="decimal"/>
      <w:isLgl w:val="false"/>
      <w:suff w:val="tab"/>
      <w:lvlText w:val="%1.%2.%3."/>
      <w:lvlJc w:val="left"/>
      <w:pPr>
        <w:ind w:left="720" w:hanging="720"/>
      </w:pPr>
      <w:rPr>
        <w:rFonts w:ascii="Times New Roman" w:hAnsi="Times New Roman"/>
        <w:b/>
        <w:sz w:val="24"/>
      </w:r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4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6">
    <w:multiLevelType w:val="hybridMultilevel"/>
    <w:lvl w:ilvl="0">
      <w:start w:val="6"/>
      <w:numFmt w:val="decimal"/>
      <w:isLgl w:val="false"/>
      <w:suff w:val="tab"/>
      <w:lvlText w:val="%1."/>
      <w:lvlJc w:val="left"/>
      <w:pPr>
        <w:ind w:left="585" w:hanging="585"/>
      </w:pPr>
    </w:lvl>
    <w:lvl w:ilvl="1">
      <w:start w:val="5"/>
      <w:numFmt w:val="decimal"/>
      <w:isLgl w:val="false"/>
      <w:suff w:val="tab"/>
      <w:lvlText w:val="%1.%2."/>
      <w:lvlJc w:val="left"/>
      <w:pPr>
        <w:ind w:left="720" w:hanging="720"/>
      </w:pPr>
    </w:lvl>
    <w:lvl w:ilvl="2">
      <w:start w:val="1"/>
      <w:numFmt w:val="decimal"/>
      <w:isLgl w:val="false"/>
      <w:suff w:val="tab"/>
      <w:lvlText w:val="%1.%2.%3."/>
      <w:lvlJc w:val="left"/>
      <w:pPr>
        <w:ind w:left="720" w:hanging="720"/>
      </w:pPr>
      <w:rPr>
        <w:rFonts w:ascii="Times New Roman" w:hAnsi="Times New Roman"/>
        <w:b/>
        <w:sz w:val="24"/>
      </w:rPr>
    </w:lvl>
    <w:lvl w:ilvl="3">
      <w:start w:val="1"/>
      <w:numFmt w:val="decimal"/>
      <w:isLgl w:val="false"/>
      <w:suff w:val="tab"/>
      <w:lvlText w:val="%1.%2.%3.%4."/>
      <w:lvlJc w:val="left"/>
      <w:pPr>
        <w:ind w:left="1080" w:hanging="108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1800" w:hanging="1800"/>
      </w:pPr>
    </w:lvl>
  </w:abstractNum>
  <w:abstractNum w:abstractNumId="4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42"/>
  </w:num>
  <w:num w:numId="2">
    <w:abstractNumId w:val="24"/>
  </w:num>
  <w:num w:numId="3">
    <w:abstractNumId w:val="8"/>
  </w:num>
  <w:num w:numId="4">
    <w:abstractNumId w:val="34"/>
  </w:num>
  <w:num w:numId="5">
    <w:abstractNumId w:val="7"/>
  </w:num>
  <w:num w:numId="6">
    <w:abstractNumId w:val="43"/>
  </w:num>
  <w:num w:numId="7">
    <w:abstractNumId w:val="12"/>
  </w:num>
  <w:num w:numId="8">
    <w:abstractNumId w:val="45"/>
  </w:num>
  <w:num w:numId="9">
    <w:abstractNumId w:val="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4"/>
  </w:num>
  <w:num w:numId="17">
    <w:abstractNumId w:val="0"/>
  </w:num>
  <w:num w:numId="18">
    <w:abstractNumId w:val="48"/>
  </w:num>
  <w:num w:numId="19">
    <w:abstractNumId w:val="3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6"/>
  </w:num>
  <w:num w:numId="25">
    <w:abstractNumId w:val="26"/>
  </w:num>
  <w:num w:numId="26">
    <w:abstractNumId w:val="30"/>
  </w:num>
  <w:num w:numId="27">
    <w:abstractNumId w:val="38"/>
  </w:num>
  <w:num w:numId="28">
    <w:abstractNumId w:val="28"/>
  </w:num>
  <w:num w:numId="29">
    <w:abstractNumId w:val="39"/>
  </w:num>
  <w:num w:numId="30">
    <w:abstractNumId w:val="21"/>
  </w:num>
  <w:num w:numId="31">
    <w:abstractNumId w:val="2"/>
  </w:num>
  <w:num w:numId="32">
    <w:abstractNumId w:val="23"/>
  </w:num>
  <w:num w:numId="33">
    <w:abstractNumId w:val="31"/>
  </w:num>
  <w:num w:numId="34">
    <w:abstractNumId w:val="25"/>
  </w:num>
  <w:num w:numId="35">
    <w:abstractNumId w:val="15"/>
  </w:num>
  <w:num w:numId="36">
    <w:abstractNumId w:val="37"/>
  </w:num>
  <w:num w:numId="37">
    <w:abstractNumId w:val="41"/>
  </w:num>
  <w:num w:numId="38">
    <w:abstractNumId w:val="46"/>
  </w:num>
  <w:num w:numId="39">
    <w:abstractNumId w:val="3"/>
  </w:num>
  <w:num w:numId="40">
    <w:abstractNumId w:val="13"/>
  </w:num>
  <w:num w:numId="41">
    <w:abstractNumId w:val="18"/>
  </w:num>
  <w:num w:numId="42">
    <w:abstractNumId w:val="16"/>
  </w:num>
  <w:num w:numId="43">
    <w:abstractNumId w:val="19"/>
  </w:num>
  <w:num w:numId="44">
    <w:abstractNumId w:val="40"/>
  </w:num>
  <w:num w:numId="45">
    <w:abstractNumId w:val="4"/>
  </w:num>
  <w:num w:numId="46">
    <w:abstractNumId w:val="32"/>
  </w:num>
  <w:num w:numId="47">
    <w:abstractNumId w:val="10"/>
  </w:num>
  <w:num w:numId="48">
    <w:abstractNumId w:val="47"/>
  </w:num>
  <w:num w:numId="49">
    <w:abstractNumId w:val="2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46"/>
    <w:link w:val="744"/>
    <w:uiPriority w:val="9"/>
    <w:rPr>
      <w:rFonts w:ascii="Arial" w:hAnsi="Arial" w:eastAsia="Arial" w:cs="Arial"/>
      <w:sz w:val="40"/>
      <w:szCs w:val="40"/>
    </w:rPr>
  </w:style>
  <w:style w:type="character" w:styleId="15">
    <w:name w:val="Heading 2 Char"/>
    <w:basedOn w:val="746"/>
    <w:link w:val="745"/>
    <w:uiPriority w:val="9"/>
    <w:rPr>
      <w:rFonts w:ascii="Arial" w:hAnsi="Arial" w:eastAsia="Arial" w:cs="Arial"/>
      <w:sz w:val="34"/>
    </w:rPr>
  </w:style>
  <w:style w:type="paragraph" w:styleId="16">
    <w:name w:val="Heading 3"/>
    <w:basedOn w:val="743"/>
    <w:next w:val="74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46"/>
    <w:link w:val="16"/>
    <w:uiPriority w:val="9"/>
    <w:rPr>
      <w:rFonts w:ascii="Arial" w:hAnsi="Arial" w:eastAsia="Arial" w:cs="Arial"/>
      <w:sz w:val="30"/>
      <w:szCs w:val="30"/>
    </w:rPr>
  </w:style>
  <w:style w:type="paragraph" w:styleId="18">
    <w:name w:val="Heading 4"/>
    <w:basedOn w:val="743"/>
    <w:next w:val="74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46"/>
    <w:link w:val="18"/>
    <w:uiPriority w:val="9"/>
    <w:rPr>
      <w:rFonts w:ascii="Arial" w:hAnsi="Arial" w:eastAsia="Arial" w:cs="Arial"/>
      <w:b/>
      <w:bCs/>
      <w:sz w:val="26"/>
      <w:szCs w:val="26"/>
    </w:rPr>
  </w:style>
  <w:style w:type="paragraph" w:styleId="20">
    <w:name w:val="Heading 5"/>
    <w:basedOn w:val="743"/>
    <w:next w:val="74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6"/>
    <w:link w:val="20"/>
    <w:uiPriority w:val="9"/>
    <w:rPr>
      <w:rFonts w:ascii="Arial" w:hAnsi="Arial" w:eastAsia="Arial" w:cs="Arial"/>
      <w:b/>
      <w:bCs/>
      <w:sz w:val="24"/>
      <w:szCs w:val="24"/>
    </w:rPr>
  </w:style>
  <w:style w:type="paragraph" w:styleId="22">
    <w:name w:val="Heading 6"/>
    <w:basedOn w:val="743"/>
    <w:next w:val="74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6"/>
    <w:link w:val="22"/>
    <w:uiPriority w:val="9"/>
    <w:rPr>
      <w:rFonts w:ascii="Arial" w:hAnsi="Arial" w:eastAsia="Arial" w:cs="Arial"/>
      <w:b/>
      <w:bCs/>
      <w:sz w:val="22"/>
      <w:szCs w:val="22"/>
    </w:rPr>
  </w:style>
  <w:style w:type="paragraph" w:styleId="24">
    <w:name w:val="Heading 7"/>
    <w:basedOn w:val="743"/>
    <w:next w:val="74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6"/>
    <w:link w:val="24"/>
    <w:uiPriority w:val="9"/>
    <w:rPr>
      <w:rFonts w:ascii="Arial" w:hAnsi="Arial" w:eastAsia="Arial" w:cs="Arial"/>
      <w:b/>
      <w:bCs/>
      <w:i/>
      <w:iCs/>
      <w:sz w:val="22"/>
      <w:szCs w:val="22"/>
    </w:rPr>
  </w:style>
  <w:style w:type="paragraph" w:styleId="26">
    <w:name w:val="Heading 8"/>
    <w:basedOn w:val="743"/>
    <w:next w:val="74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6"/>
    <w:link w:val="26"/>
    <w:uiPriority w:val="9"/>
    <w:rPr>
      <w:rFonts w:ascii="Arial" w:hAnsi="Arial" w:eastAsia="Arial" w:cs="Arial"/>
      <w:i/>
      <w:iCs/>
      <w:sz w:val="22"/>
      <w:szCs w:val="22"/>
    </w:rPr>
  </w:style>
  <w:style w:type="paragraph" w:styleId="28">
    <w:name w:val="Heading 9"/>
    <w:basedOn w:val="743"/>
    <w:next w:val="74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6"/>
    <w:link w:val="28"/>
    <w:uiPriority w:val="9"/>
    <w:rPr>
      <w:rFonts w:ascii="Arial" w:hAnsi="Arial" w:eastAsia="Arial" w:cs="Arial"/>
      <w:i/>
      <w:iCs/>
      <w:sz w:val="21"/>
      <w:szCs w:val="21"/>
    </w:rPr>
  </w:style>
  <w:style w:type="paragraph" w:styleId="33">
    <w:name w:val="Title"/>
    <w:basedOn w:val="743"/>
    <w:next w:val="743"/>
    <w:link w:val="34"/>
    <w:uiPriority w:val="10"/>
    <w:qFormat/>
    <w:pPr>
      <w:contextualSpacing/>
      <w:spacing w:before="300" w:after="200"/>
    </w:pPr>
    <w:rPr>
      <w:sz w:val="48"/>
      <w:szCs w:val="48"/>
    </w:rPr>
  </w:style>
  <w:style w:type="character" w:styleId="34">
    <w:name w:val="Title Char"/>
    <w:basedOn w:val="746"/>
    <w:link w:val="33"/>
    <w:uiPriority w:val="10"/>
    <w:rPr>
      <w:sz w:val="48"/>
      <w:szCs w:val="48"/>
    </w:rPr>
  </w:style>
  <w:style w:type="paragraph" w:styleId="35">
    <w:name w:val="Subtitle"/>
    <w:basedOn w:val="743"/>
    <w:next w:val="743"/>
    <w:link w:val="36"/>
    <w:uiPriority w:val="11"/>
    <w:qFormat/>
    <w:pPr>
      <w:spacing w:before="200" w:after="200"/>
    </w:pPr>
    <w:rPr>
      <w:sz w:val="24"/>
      <w:szCs w:val="24"/>
    </w:rPr>
  </w:style>
  <w:style w:type="character" w:styleId="36">
    <w:name w:val="Subtitle Char"/>
    <w:basedOn w:val="746"/>
    <w:link w:val="35"/>
    <w:uiPriority w:val="11"/>
    <w:rPr>
      <w:sz w:val="24"/>
      <w:szCs w:val="24"/>
    </w:rPr>
  </w:style>
  <w:style w:type="paragraph" w:styleId="37">
    <w:name w:val="Quote"/>
    <w:basedOn w:val="743"/>
    <w:next w:val="743"/>
    <w:link w:val="38"/>
    <w:uiPriority w:val="29"/>
    <w:qFormat/>
    <w:pPr>
      <w:ind w:left="720" w:right="720"/>
    </w:pPr>
    <w:rPr>
      <w:i/>
    </w:rPr>
  </w:style>
  <w:style w:type="character" w:styleId="38">
    <w:name w:val="Quote Char"/>
    <w:link w:val="37"/>
    <w:uiPriority w:val="29"/>
    <w:rPr>
      <w:i/>
    </w:rPr>
  </w:style>
  <w:style w:type="paragraph" w:styleId="39">
    <w:name w:val="Intense Quote"/>
    <w:basedOn w:val="743"/>
    <w:next w:val="74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46"/>
    <w:link w:val="915"/>
    <w:uiPriority w:val="99"/>
  </w:style>
  <w:style w:type="character" w:styleId="44">
    <w:name w:val="Footer Char"/>
    <w:basedOn w:val="746"/>
    <w:link w:val="755"/>
    <w:uiPriority w:val="99"/>
  </w:style>
  <w:style w:type="character" w:styleId="46">
    <w:name w:val="Caption Char"/>
    <w:basedOn w:val="908"/>
    <w:link w:val="755"/>
    <w:uiPriority w:val="99"/>
  </w:style>
  <w:style w:type="table" w:styleId="48">
    <w:name w:val="Table Grid Light"/>
    <w:basedOn w:val="7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4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6"/>
    <w:uiPriority w:val="99"/>
    <w:unhideWhenUsed/>
    <w:rPr>
      <w:vertAlign w:val="superscript"/>
    </w:rPr>
  </w:style>
  <w:style w:type="paragraph" w:styleId="177">
    <w:name w:val="endnote text"/>
    <w:basedOn w:val="74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6"/>
    <w:uiPriority w:val="99"/>
    <w:semiHidden/>
    <w:unhideWhenUsed/>
    <w:rPr>
      <w:vertAlign w:val="superscript"/>
    </w:rPr>
  </w:style>
  <w:style w:type="paragraph" w:styleId="180">
    <w:name w:val="toc 1"/>
    <w:basedOn w:val="743"/>
    <w:next w:val="743"/>
    <w:uiPriority w:val="39"/>
    <w:unhideWhenUsed/>
    <w:pPr>
      <w:ind w:left="0" w:right="0" w:firstLine="0"/>
      <w:spacing w:after="57"/>
    </w:pPr>
  </w:style>
  <w:style w:type="paragraph" w:styleId="181">
    <w:name w:val="toc 2"/>
    <w:basedOn w:val="743"/>
    <w:next w:val="743"/>
    <w:uiPriority w:val="39"/>
    <w:unhideWhenUsed/>
    <w:pPr>
      <w:ind w:left="283" w:right="0" w:firstLine="0"/>
      <w:spacing w:after="57"/>
    </w:pPr>
  </w:style>
  <w:style w:type="paragraph" w:styleId="182">
    <w:name w:val="toc 3"/>
    <w:basedOn w:val="743"/>
    <w:next w:val="743"/>
    <w:uiPriority w:val="39"/>
    <w:unhideWhenUsed/>
    <w:pPr>
      <w:ind w:left="567" w:right="0" w:firstLine="0"/>
      <w:spacing w:after="57"/>
    </w:pPr>
  </w:style>
  <w:style w:type="paragraph" w:styleId="183">
    <w:name w:val="toc 4"/>
    <w:basedOn w:val="743"/>
    <w:next w:val="743"/>
    <w:uiPriority w:val="39"/>
    <w:unhideWhenUsed/>
    <w:pPr>
      <w:ind w:left="850" w:right="0" w:firstLine="0"/>
      <w:spacing w:after="57"/>
    </w:pPr>
  </w:style>
  <w:style w:type="paragraph" w:styleId="184">
    <w:name w:val="toc 5"/>
    <w:basedOn w:val="743"/>
    <w:next w:val="743"/>
    <w:uiPriority w:val="39"/>
    <w:unhideWhenUsed/>
    <w:pPr>
      <w:ind w:left="1134" w:right="0" w:firstLine="0"/>
      <w:spacing w:after="57"/>
    </w:pPr>
  </w:style>
  <w:style w:type="paragraph" w:styleId="185">
    <w:name w:val="toc 6"/>
    <w:basedOn w:val="743"/>
    <w:next w:val="743"/>
    <w:uiPriority w:val="39"/>
    <w:unhideWhenUsed/>
    <w:pPr>
      <w:ind w:left="1417" w:right="0" w:firstLine="0"/>
      <w:spacing w:after="57"/>
    </w:pPr>
  </w:style>
  <w:style w:type="paragraph" w:styleId="186">
    <w:name w:val="toc 7"/>
    <w:basedOn w:val="743"/>
    <w:next w:val="743"/>
    <w:uiPriority w:val="39"/>
    <w:unhideWhenUsed/>
    <w:pPr>
      <w:ind w:left="1701" w:right="0" w:firstLine="0"/>
      <w:spacing w:after="57"/>
    </w:pPr>
  </w:style>
  <w:style w:type="paragraph" w:styleId="187">
    <w:name w:val="toc 8"/>
    <w:basedOn w:val="743"/>
    <w:next w:val="743"/>
    <w:uiPriority w:val="39"/>
    <w:unhideWhenUsed/>
    <w:pPr>
      <w:ind w:left="1984" w:right="0" w:firstLine="0"/>
      <w:spacing w:after="57"/>
    </w:pPr>
  </w:style>
  <w:style w:type="paragraph" w:styleId="188">
    <w:name w:val="toc 9"/>
    <w:basedOn w:val="743"/>
    <w:next w:val="74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3"/>
    <w:next w:val="743"/>
    <w:uiPriority w:val="99"/>
    <w:unhideWhenUsed/>
    <w:pPr>
      <w:spacing w:after="0" w:afterAutospacing="0"/>
    </w:pPr>
  </w:style>
  <w:style w:type="paragraph" w:styleId="743" w:default="1">
    <w:name w:val="Normal"/>
    <w:qFormat/>
    <w:rPr>
      <w:lang w:val="uk-UA"/>
    </w:rPr>
  </w:style>
  <w:style w:type="paragraph" w:styleId="744">
    <w:name w:val="Heading 1"/>
    <w:basedOn w:val="743"/>
    <w:next w:val="743"/>
    <w:link w:val="781"/>
    <w:uiPriority w:val="1"/>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745">
    <w:name w:val="Heading 2"/>
    <w:basedOn w:val="743"/>
    <w:link w:val="76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46" w:default="1">
    <w:name w:val="Default Paragraph Font"/>
    <w:uiPriority w:val="1"/>
    <w:semiHidden/>
    <w:unhideWhenUsed/>
  </w:style>
  <w:style w:type="table" w:styleId="747" w:default="1">
    <w:name w:val="Normal Table"/>
    <w:uiPriority w:val="99"/>
    <w:semiHidden/>
    <w:unhideWhenUsed/>
    <w:tblPr>
      <w:tblInd w:w="0" w:type="dxa"/>
      <w:tblCellMar>
        <w:left w:w="108" w:type="dxa"/>
        <w:top w:w="0" w:type="dxa"/>
        <w:right w:w="108" w:type="dxa"/>
        <w:bottom w:w="0" w:type="dxa"/>
      </w:tblCellMar>
    </w:tblPr>
  </w:style>
  <w:style w:type="numbering" w:styleId="748" w:default="1">
    <w:name w:val="No List"/>
    <w:uiPriority w:val="99"/>
    <w:semiHidden/>
    <w:unhideWhenUsed/>
  </w:style>
  <w:style w:type="paragraph" w:styleId="749">
    <w:name w:val="List Paragraph"/>
    <w:basedOn w:val="743"/>
    <w:link w:val="750"/>
    <w:uiPriority w:val="34"/>
    <w:qFormat/>
    <w:pPr>
      <w:contextualSpacing/>
      <w:ind w:left="720"/>
      <w:spacing w:after="200" w:line="276" w:lineRule="auto"/>
    </w:pPr>
    <w:rPr>
      <w:rFonts w:ascii="Calibri" w:hAnsi="Calibri" w:eastAsia="Calibri" w:cs="Calibri"/>
      <w:lang w:val="ru-RU" w:eastAsia="zh-CN"/>
    </w:rPr>
  </w:style>
  <w:style w:type="character" w:styleId="750" w:customStyle="1">
    <w:name w:val="Абзац списку Знак"/>
    <w:link w:val="749"/>
    <w:uiPriority w:val="34"/>
    <w:qFormat/>
    <w:rPr>
      <w:rFonts w:ascii="Calibri" w:hAnsi="Calibri" w:eastAsia="Calibri" w:cs="Calibri"/>
      <w:lang w:eastAsia="zh-CN"/>
    </w:rPr>
  </w:style>
  <w:style w:type="table" w:styleId="751">
    <w:name w:val="Table Grid"/>
    <w:basedOn w:val="747"/>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52" w:customStyle="1">
    <w:name w:val="Сетка таблицы2"/>
    <w:basedOn w:val="747"/>
    <w:next w:val="75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3">
    <w:name w:val="Normal (Web)"/>
    <w:basedOn w:val="743"/>
    <w:link w:val="760"/>
    <w:uiPriority w:val="99"/>
    <w:unhideWhenUsed/>
    <w:qFormat/>
    <w:rPr>
      <w:rFonts w:ascii="Times New Roman" w:hAnsi="Times New Roman" w:cs="Times New Roman"/>
      <w:sz w:val="24"/>
      <w:szCs w:val="24"/>
    </w:rPr>
  </w:style>
  <w:style w:type="table" w:styleId="754" w:customStyle="1">
    <w:name w:val="Сетка таблицы1"/>
    <w:basedOn w:val="747"/>
    <w:next w:val="75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5">
    <w:name w:val="Footer"/>
    <w:basedOn w:val="743"/>
    <w:link w:val="75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56" w:customStyle="1">
    <w:name w:val="Нижній колонтитул Знак"/>
    <w:basedOn w:val="746"/>
    <w:link w:val="755"/>
    <w:uiPriority w:val="99"/>
    <w:rPr>
      <w:rFonts w:ascii="Calibri" w:hAnsi="Calibri" w:eastAsia="Calibri" w:cs="Calibri"/>
      <w:lang w:eastAsia="zh-CN"/>
    </w:rPr>
  </w:style>
  <w:style w:type="paragraph" w:styleId="75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58">
    <w:name w:val="Hyperlink"/>
    <w:basedOn w:val="746"/>
    <w:uiPriority w:val="99"/>
    <w:unhideWhenUsed/>
    <w:rPr>
      <w:color w:val="0563c1" w:themeColor="hyperlink"/>
      <w:u w:val="single"/>
    </w:rPr>
  </w:style>
  <w:style w:type="character" w:styleId="759" w:customStyle="1">
    <w:name w:val="xfm_93972720"/>
    <w:basedOn w:val="746"/>
  </w:style>
  <w:style w:type="character" w:styleId="760" w:customStyle="1">
    <w:name w:val="Звичайний (веб) Знак"/>
    <w:link w:val="753"/>
    <w:uiPriority w:val="99"/>
    <w:qFormat/>
    <w:rPr>
      <w:rFonts w:ascii="Times New Roman" w:hAnsi="Times New Roman" w:cs="Times New Roman"/>
      <w:sz w:val="24"/>
      <w:szCs w:val="24"/>
      <w:lang w:val="uk-UA"/>
    </w:rPr>
  </w:style>
  <w:style w:type="paragraph" w:styleId="761">
    <w:name w:val="Body Text 2"/>
    <w:basedOn w:val="743"/>
    <w:link w:val="762"/>
    <w:pPr>
      <w:spacing w:after="0" w:line="240" w:lineRule="auto"/>
    </w:pPr>
    <w:rPr>
      <w:rFonts w:ascii="Times New Roman" w:hAnsi="Times New Roman" w:eastAsia="Times New Roman" w:cs="Times New Roman"/>
      <w:sz w:val="28"/>
      <w:szCs w:val="20"/>
      <w:lang w:val="ru-RU" w:eastAsia="ru-RU"/>
    </w:rPr>
  </w:style>
  <w:style w:type="character" w:styleId="762" w:customStyle="1">
    <w:name w:val="Основний текст 2 Знак"/>
    <w:basedOn w:val="746"/>
    <w:link w:val="761"/>
    <w:rPr>
      <w:rFonts w:ascii="Times New Roman" w:hAnsi="Times New Roman" w:eastAsia="Times New Roman" w:cs="Times New Roman"/>
      <w:sz w:val="28"/>
      <w:szCs w:val="20"/>
      <w:lang w:eastAsia="ru-RU"/>
    </w:rPr>
  </w:style>
  <w:style w:type="paragraph" w:styleId="763" w:customStyle="1">
    <w:name w:val="Default"/>
    <w:qFormat/>
    <w:pPr>
      <w:spacing w:after="0" w:line="240" w:lineRule="auto"/>
    </w:pPr>
    <w:rPr>
      <w:rFonts w:ascii="Times New Roman" w:hAnsi="Times New Roman" w:eastAsia="Calibri" w:cs="Times New Roman"/>
      <w:color w:val="000000"/>
      <w:sz w:val="24"/>
      <w:szCs w:val="24"/>
      <w:lang w:val="uk-UA" w:eastAsia="uk-UA"/>
    </w:rPr>
  </w:style>
  <w:style w:type="character" w:styleId="764" w:customStyle="1">
    <w:name w:val="Заголовок 2 Знак"/>
    <w:basedOn w:val="746"/>
    <w:link w:val="745"/>
    <w:uiPriority w:val="9"/>
    <w:rPr>
      <w:rFonts w:ascii="Times New Roman" w:hAnsi="Times New Roman" w:eastAsia="Times New Roman" w:cs="Times New Roman"/>
      <w:b/>
      <w:bCs/>
      <w:sz w:val="36"/>
      <w:szCs w:val="36"/>
      <w:lang w:val="uk-UA" w:eastAsia="uk-UA"/>
    </w:rPr>
  </w:style>
  <w:style w:type="paragraph" w:styleId="765">
    <w:name w:val="No Spacing"/>
    <w:link w:val="766"/>
    <w:uiPriority w:val="1"/>
    <w:qFormat/>
    <w:pPr>
      <w:spacing w:after="0" w:line="240" w:lineRule="auto"/>
    </w:pPr>
    <w:rPr>
      <w:rFonts w:ascii="Calibri" w:hAnsi="Calibri" w:eastAsia="Calibri" w:cs="Times New Roman"/>
      <w:lang w:val="uk-UA"/>
    </w:rPr>
  </w:style>
  <w:style w:type="character" w:styleId="766" w:customStyle="1">
    <w:name w:val="Без інтервалів Знак"/>
    <w:basedOn w:val="746"/>
    <w:link w:val="765"/>
    <w:uiPriority w:val="1"/>
    <w:rPr>
      <w:rFonts w:ascii="Calibri" w:hAnsi="Calibri" w:eastAsia="Calibri" w:cs="Times New Roman"/>
      <w:lang w:val="uk-UA"/>
    </w:rPr>
  </w:style>
  <w:style w:type="character" w:styleId="767" w:customStyle="1">
    <w:name w:val="Другое_"/>
    <w:basedOn w:val="746"/>
    <w:link w:val="768"/>
    <w:rPr>
      <w:rFonts w:ascii="Calibri" w:hAnsi="Calibri" w:eastAsia="Calibri" w:cs="Calibri"/>
      <w:sz w:val="20"/>
      <w:szCs w:val="20"/>
    </w:rPr>
  </w:style>
  <w:style w:type="paragraph" w:styleId="768" w:customStyle="1">
    <w:name w:val="Другое"/>
    <w:basedOn w:val="743"/>
    <w:link w:val="767"/>
    <w:qFormat/>
    <w:pPr>
      <w:spacing w:after="0" w:line="240" w:lineRule="auto"/>
      <w:widowControl w:val="off"/>
    </w:pPr>
    <w:rPr>
      <w:rFonts w:ascii="Calibri" w:hAnsi="Calibri" w:eastAsia="Calibri" w:cs="Calibri"/>
      <w:sz w:val="20"/>
      <w:szCs w:val="20"/>
      <w:lang w:val="ru-RU"/>
    </w:rPr>
  </w:style>
  <w:style w:type="paragraph" w:styleId="769"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70" w:customStyle="1">
    <w:name w:val="Основной текст (2)_"/>
    <w:basedOn w:val="746"/>
    <w:link w:val="771"/>
    <w:qFormat/>
    <w:rPr>
      <w:rFonts w:eastAsia="Times New Roman" w:cs="Times New Roman"/>
      <w:shd w:val="clear" w:color="auto" w:fill="ffffff"/>
    </w:rPr>
  </w:style>
  <w:style w:type="paragraph" w:styleId="771" w:customStyle="1">
    <w:name w:val="Основной текст (2)"/>
    <w:basedOn w:val="743"/>
    <w:link w:val="770"/>
    <w:qFormat/>
    <w:pPr>
      <w:ind w:hanging="700"/>
      <w:jc w:val="both"/>
      <w:spacing w:before="240" w:after="480" w:line="0" w:lineRule="atLeast"/>
      <w:shd w:val="clear" w:color="auto" w:fill="ffffff"/>
      <w:widowControl w:val="off"/>
    </w:pPr>
    <w:rPr>
      <w:rFonts w:eastAsia="Times New Roman" w:cs="Times New Roman"/>
      <w:lang w:val="ru-RU"/>
    </w:rPr>
  </w:style>
  <w:style w:type="character" w:styleId="772" w:customStyle="1">
    <w:name w:val="Текст у виносці Знак"/>
    <w:basedOn w:val="746"/>
    <w:link w:val="773"/>
    <w:uiPriority w:val="99"/>
    <w:semiHidden/>
    <w:rPr>
      <w:rFonts w:ascii="Segoe UI" w:hAnsi="Segoe UI" w:eastAsia="Times New Roman" w:cs="Segoe UI"/>
      <w:sz w:val="18"/>
      <w:szCs w:val="18"/>
      <w:lang w:eastAsia="ru-RU"/>
    </w:rPr>
  </w:style>
  <w:style w:type="paragraph" w:styleId="773">
    <w:name w:val="Balloon Text"/>
    <w:basedOn w:val="743"/>
    <w:link w:val="772"/>
    <w:uiPriority w:val="99"/>
    <w:semiHidden/>
    <w:unhideWhenUsed/>
    <w:qFormat/>
    <w:pPr>
      <w:spacing w:after="0" w:line="240" w:lineRule="auto"/>
      <w:widowControl w:val="off"/>
    </w:pPr>
    <w:rPr>
      <w:rFonts w:ascii="Segoe UI" w:hAnsi="Segoe UI" w:eastAsia="Times New Roman" w:cs="Segoe UI"/>
      <w:sz w:val="18"/>
      <w:szCs w:val="18"/>
      <w:lang w:val="ru-RU" w:eastAsia="ru-RU"/>
    </w:rPr>
  </w:style>
  <w:style w:type="character" w:styleId="774" w:customStyle="1">
    <w:name w:val="Текст у виносці Знак1"/>
    <w:basedOn w:val="746"/>
    <w:uiPriority w:val="99"/>
    <w:semiHidden/>
    <w:rPr>
      <w:rFonts w:ascii="Segoe UI" w:hAnsi="Segoe UI" w:cs="Segoe UI"/>
      <w:sz w:val="18"/>
      <w:szCs w:val="18"/>
      <w:lang w:val="uk-UA"/>
    </w:rPr>
  </w:style>
  <w:style w:type="character" w:styleId="775" w:customStyle="1">
    <w:name w:val="T23"/>
    <w:rPr>
      <w:rFonts w:hint="default" w:ascii="Times New Roman" w:hAnsi="Times New Roman" w:eastAsia="Times New Roman1" w:cs="Times New Roman"/>
    </w:rPr>
  </w:style>
  <w:style w:type="paragraph" w:styleId="776" w:customStyle="1">
    <w:name w:val="Абзац списку1"/>
    <w:basedOn w:val="74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77" w:customStyle="1">
    <w:name w:val="markedcontent"/>
    <w:basedOn w:val="746"/>
  </w:style>
  <w:style w:type="paragraph" w:styleId="778">
    <w:name w:val="annotation text"/>
    <w:basedOn w:val="743"/>
    <w:link w:val="779"/>
    <w:uiPriority w:val="99"/>
    <w:unhideWhenUsed/>
    <w:qFormat/>
    <w:pPr>
      <w:spacing w:after="0" w:line="240" w:lineRule="auto"/>
      <w:widowControl w:val="off"/>
    </w:pPr>
    <w:rPr>
      <w:rFonts w:ascii="Times New Roman" w:hAnsi="Times New Roman" w:eastAsia="Times New Roman" w:cs="Times New Roman"/>
      <w:sz w:val="20"/>
      <w:szCs w:val="20"/>
      <w:lang w:val="ru-RU" w:eastAsia="ru-RU"/>
    </w:rPr>
  </w:style>
  <w:style w:type="character" w:styleId="779" w:customStyle="1">
    <w:name w:val="Текст примітки Знак"/>
    <w:basedOn w:val="746"/>
    <w:link w:val="778"/>
    <w:uiPriority w:val="99"/>
    <w:rPr>
      <w:rFonts w:ascii="Times New Roman" w:hAnsi="Times New Roman" w:eastAsia="Times New Roman" w:cs="Times New Roman"/>
      <w:sz w:val="20"/>
      <w:szCs w:val="20"/>
      <w:lang w:eastAsia="ru-RU"/>
    </w:rPr>
  </w:style>
  <w:style w:type="character" w:styleId="780" w:customStyle="1">
    <w:name w:val="xfmc1"/>
    <w:basedOn w:val="746"/>
  </w:style>
  <w:style w:type="character" w:styleId="781" w:customStyle="1">
    <w:name w:val="Заголовок 1 Знак"/>
    <w:basedOn w:val="746"/>
    <w:link w:val="744"/>
    <w:uiPriority w:val="1"/>
    <w:rPr>
      <w:rFonts w:asciiTheme="majorHAnsi" w:hAnsiTheme="majorHAnsi" w:eastAsiaTheme="majorEastAsia" w:cstheme="majorBidi"/>
      <w:color w:val="2e74b5" w:themeColor="accent1" w:themeShade="BF"/>
      <w:sz w:val="32"/>
      <w:szCs w:val="32"/>
      <w:lang w:val="uk-UA"/>
    </w:rPr>
  </w:style>
  <w:style w:type="paragraph" w:styleId="782" w:customStyle="1">
    <w:name w:val="Table Paragraph"/>
    <w:basedOn w:val="743"/>
    <w:uiPriority w:val="1"/>
    <w:qFormat/>
    <w:pPr>
      <w:spacing w:after="0" w:line="240" w:lineRule="auto"/>
      <w:widowControl w:val="off"/>
    </w:pPr>
    <w:rPr>
      <w:rFonts w:ascii="Times New Roman" w:hAnsi="Times New Roman" w:eastAsia="Times New Roman" w:cs="Times New Roman"/>
    </w:rPr>
  </w:style>
  <w:style w:type="character" w:styleId="783" w:customStyle="1">
    <w:name w:val="Основной текст Знак"/>
    <w:basedOn w:val="746"/>
    <w:qFormat/>
    <w:rPr>
      <w:rFonts w:ascii="Times New Roman" w:hAnsi="Times New Roman" w:eastAsia="Times New Roman" w:cs="Times New Roman"/>
      <w:color w:val="00000a"/>
      <w:sz w:val="24"/>
      <w:szCs w:val="24"/>
      <w:lang w:val="ru-RU" w:eastAsia="zh-CN"/>
    </w:rPr>
  </w:style>
  <w:style w:type="character" w:styleId="784" w:customStyle="1">
    <w:name w:val="Internet Link"/>
    <w:basedOn w:val="746"/>
    <w:uiPriority w:val="99"/>
    <w:semiHidden/>
    <w:unhideWhenUsed/>
    <w:rPr>
      <w:color w:val="0000ff"/>
      <w:u w:val="single"/>
    </w:rPr>
  </w:style>
  <w:style w:type="character" w:styleId="785" w:customStyle="1">
    <w:name w:val="Текст выноски Знак"/>
    <w:basedOn w:val="746"/>
    <w:uiPriority w:val="99"/>
    <w:semiHidden/>
    <w:qFormat/>
    <w:rPr>
      <w:rFonts w:ascii="Segoe UI" w:hAnsi="Segoe UI" w:cs="Segoe UI"/>
      <w:sz w:val="18"/>
      <w:szCs w:val="18"/>
    </w:rPr>
  </w:style>
  <w:style w:type="character" w:styleId="786">
    <w:name w:val="annotation reference"/>
    <w:basedOn w:val="746"/>
    <w:uiPriority w:val="99"/>
    <w:semiHidden/>
    <w:unhideWhenUsed/>
    <w:qFormat/>
    <w:rPr>
      <w:sz w:val="16"/>
      <w:szCs w:val="16"/>
    </w:rPr>
  </w:style>
  <w:style w:type="character" w:styleId="787" w:customStyle="1">
    <w:name w:val="Текст примечания Знак"/>
    <w:basedOn w:val="746"/>
    <w:uiPriority w:val="99"/>
    <w:semiHidden/>
    <w:qFormat/>
    <w:rPr>
      <w:sz w:val="20"/>
      <w:szCs w:val="20"/>
    </w:rPr>
  </w:style>
  <w:style w:type="character" w:styleId="788" w:customStyle="1">
    <w:name w:val="Тема примечания Знак"/>
    <w:basedOn w:val="787"/>
    <w:uiPriority w:val="99"/>
    <w:semiHidden/>
    <w:qFormat/>
    <w:rPr>
      <w:b/>
      <w:bCs/>
      <w:sz w:val="20"/>
      <w:szCs w:val="20"/>
    </w:rPr>
  </w:style>
  <w:style w:type="character" w:styleId="789" w:customStyle="1">
    <w:name w:val="ListLabel 1"/>
    <w:qFormat/>
    <w:rPr>
      <w:rFonts w:ascii="Times New Roman" w:hAnsi="Times New Roman"/>
      <w:b/>
      <w:sz w:val="25"/>
    </w:rPr>
  </w:style>
  <w:style w:type="character" w:styleId="790" w:customStyle="1">
    <w:name w:val="ListLabel 2"/>
    <w:qFormat/>
    <w:rPr>
      <w:rFonts w:ascii="Times New Roman" w:hAnsi="Times New Roman"/>
      <w:b/>
      <w:sz w:val="25"/>
    </w:rPr>
  </w:style>
  <w:style w:type="character" w:styleId="791" w:customStyle="1">
    <w:name w:val="ListLabel 3"/>
    <w:qFormat/>
    <w:rPr>
      <w:rFonts w:cs="Times New Roman"/>
      <w:sz w:val="27"/>
    </w:rPr>
  </w:style>
  <w:style w:type="character" w:styleId="792" w:customStyle="1">
    <w:name w:val="ListLabel 4"/>
    <w:qFormat/>
    <w:rPr>
      <w:rFonts w:cs="Times New Roman"/>
      <w:b w:val="0"/>
      <w:sz w:val="24"/>
      <w:szCs w:val="24"/>
    </w:rPr>
  </w:style>
  <w:style w:type="character" w:styleId="793" w:customStyle="1">
    <w:name w:val="ListLabel 5"/>
    <w:qFormat/>
    <w:rPr>
      <w:sz w:val="27"/>
    </w:rPr>
  </w:style>
  <w:style w:type="character" w:styleId="794" w:customStyle="1">
    <w:name w:val="ListLabel 6"/>
    <w:qFormat/>
    <w:rPr>
      <w:rFonts w:cs="Times New Roman"/>
      <w:sz w:val="27"/>
    </w:rPr>
  </w:style>
  <w:style w:type="character" w:styleId="795" w:customStyle="1">
    <w:name w:val="ListLabel 7"/>
    <w:qFormat/>
    <w:rPr>
      <w:rFonts w:cs="Times New Roman"/>
      <w:sz w:val="27"/>
    </w:rPr>
  </w:style>
  <w:style w:type="character" w:styleId="796" w:customStyle="1">
    <w:name w:val="ListLabel 8"/>
    <w:qFormat/>
    <w:rPr>
      <w:rFonts w:cs="Times New Roman"/>
      <w:sz w:val="27"/>
    </w:rPr>
  </w:style>
  <w:style w:type="character" w:styleId="797" w:customStyle="1">
    <w:name w:val="ListLabel 9"/>
    <w:qFormat/>
    <w:rPr>
      <w:rFonts w:cs="Times New Roman"/>
      <w:sz w:val="27"/>
    </w:rPr>
  </w:style>
  <w:style w:type="character" w:styleId="798" w:customStyle="1">
    <w:name w:val="ListLabel 10"/>
    <w:qFormat/>
    <w:rPr>
      <w:rFonts w:cs="Times New Roman"/>
      <w:sz w:val="27"/>
    </w:rPr>
  </w:style>
  <w:style w:type="character" w:styleId="799" w:customStyle="1">
    <w:name w:val="ListLabel 11"/>
    <w:qFormat/>
    <w:rPr>
      <w:rFonts w:cs="Times New Roman"/>
      <w:sz w:val="27"/>
    </w:rPr>
  </w:style>
  <w:style w:type="character" w:styleId="800" w:customStyle="1">
    <w:name w:val="ListLabel 12"/>
    <w:qFormat/>
    <w:rPr>
      <w:rFonts w:ascii="Times New Roman" w:hAnsi="Times New Roman" w:cs="Symbol"/>
      <w:sz w:val="25"/>
    </w:rPr>
  </w:style>
  <w:style w:type="character" w:styleId="801" w:customStyle="1">
    <w:name w:val="ListLabel 13"/>
    <w:qFormat/>
    <w:rPr>
      <w:rFonts w:cs="Courier New"/>
    </w:rPr>
  </w:style>
  <w:style w:type="character" w:styleId="802" w:customStyle="1">
    <w:name w:val="ListLabel 14"/>
    <w:qFormat/>
    <w:rPr>
      <w:rFonts w:cs="Wingdings"/>
    </w:rPr>
  </w:style>
  <w:style w:type="character" w:styleId="803" w:customStyle="1">
    <w:name w:val="ListLabel 15"/>
    <w:qFormat/>
    <w:rPr>
      <w:rFonts w:cs="Symbol"/>
    </w:rPr>
  </w:style>
  <w:style w:type="character" w:styleId="804" w:customStyle="1">
    <w:name w:val="ListLabel 16"/>
    <w:qFormat/>
    <w:rPr>
      <w:rFonts w:cs="Courier New"/>
    </w:rPr>
  </w:style>
  <w:style w:type="character" w:styleId="805" w:customStyle="1">
    <w:name w:val="ListLabel 17"/>
    <w:qFormat/>
    <w:rPr>
      <w:rFonts w:cs="Wingdings"/>
    </w:rPr>
  </w:style>
  <w:style w:type="character" w:styleId="806" w:customStyle="1">
    <w:name w:val="ListLabel 18"/>
    <w:qFormat/>
    <w:rPr>
      <w:rFonts w:cs="Symbol"/>
    </w:rPr>
  </w:style>
  <w:style w:type="character" w:styleId="807" w:customStyle="1">
    <w:name w:val="ListLabel 19"/>
    <w:qFormat/>
    <w:rPr>
      <w:rFonts w:cs="Courier New"/>
    </w:rPr>
  </w:style>
  <w:style w:type="character" w:styleId="808" w:customStyle="1">
    <w:name w:val="ListLabel 20"/>
    <w:qFormat/>
    <w:rPr>
      <w:rFonts w:cs="Wingdings"/>
    </w:rPr>
  </w:style>
  <w:style w:type="character" w:styleId="809" w:customStyle="1">
    <w:name w:val="ListLabel 21"/>
    <w:qFormat/>
    <w:rPr>
      <w:i w:val="0"/>
      <w:iCs/>
    </w:rPr>
  </w:style>
  <w:style w:type="character" w:styleId="810" w:customStyle="1">
    <w:name w:val="ListLabel 22"/>
    <w:qFormat/>
    <w:rPr>
      <w:rFonts w:cs="Times New Roman"/>
      <w:b/>
    </w:rPr>
  </w:style>
  <w:style w:type="character" w:styleId="811" w:customStyle="1">
    <w:name w:val="ListLabel 23"/>
    <w:qFormat/>
    <w:rPr>
      <w:rFonts w:cs="Courier New"/>
    </w:rPr>
  </w:style>
  <w:style w:type="character" w:styleId="812" w:customStyle="1">
    <w:name w:val="ListLabel 24"/>
    <w:qFormat/>
    <w:rPr>
      <w:rFonts w:cs="Wingdings"/>
    </w:rPr>
  </w:style>
  <w:style w:type="character" w:styleId="813" w:customStyle="1">
    <w:name w:val="ListLabel 25"/>
    <w:qFormat/>
    <w:rPr>
      <w:rFonts w:cs="Symbol"/>
    </w:rPr>
  </w:style>
  <w:style w:type="character" w:styleId="814" w:customStyle="1">
    <w:name w:val="ListLabel 26"/>
    <w:qFormat/>
    <w:rPr>
      <w:rFonts w:cs="Courier New"/>
    </w:rPr>
  </w:style>
  <w:style w:type="character" w:styleId="815" w:customStyle="1">
    <w:name w:val="ListLabel 27"/>
    <w:qFormat/>
    <w:rPr>
      <w:rFonts w:cs="Wingdings"/>
    </w:rPr>
  </w:style>
  <w:style w:type="character" w:styleId="816" w:customStyle="1">
    <w:name w:val="ListLabel 28"/>
    <w:qFormat/>
    <w:rPr>
      <w:rFonts w:cs="Symbol"/>
    </w:rPr>
  </w:style>
  <w:style w:type="character" w:styleId="817" w:customStyle="1">
    <w:name w:val="ListLabel 29"/>
    <w:qFormat/>
    <w:rPr>
      <w:rFonts w:cs="Courier New"/>
    </w:rPr>
  </w:style>
  <w:style w:type="character" w:styleId="818" w:customStyle="1">
    <w:name w:val="ListLabel 30"/>
    <w:qFormat/>
    <w:rPr>
      <w:rFonts w:cs="Wingdings"/>
    </w:rPr>
  </w:style>
  <w:style w:type="character" w:styleId="819" w:customStyle="1">
    <w:name w:val="ListLabel 31"/>
    <w:qFormat/>
    <w:rPr>
      <w:rFonts w:ascii="Times New Roman" w:hAnsi="Times New Roman" w:cs="Symbol"/>
      <w:sz w:val="24"/>
    </w:rPr>
  </w:style>
  <w:style w:type="character" w:styleId="820" w:customStyle="1">
    <w:name w:val="ListLabel 32"/>
    <w:qFormat/>
    <w:rPr>
      <w:rFonts w:cs="Courier New"/>
    </w:rPr>
  </w:style>
  <w:style w:type="character" w:styleId="821" w:customStyle="1">
    <w:name w:val="ListLabel 33"/>
    <w:qFormat/>
    <w:rPr>
      <w:rFonts w:cs="Wingdings"/>
    </w:rPr>
  </w:style>
  <w:style w:type="character" w:styleId="822" w:customStyle="1">
    <w:name w:val="ListLabel 34"/>
    <w:qFormat/>
    <w:rPr>
      <w:rFonts w:cs="Symbol"/>
    </w:rPr>
  </w:style>
  <w:style w:type="character" w:styleId="823" w:customStyle="1">
    <w:name w:val="ListLabel 35"/>
    <w:qFormat/>
    <w:rPr>
      <w:rFonts w:cs="Courier New"/>
    </w:rPr>
  </w:style>
  <w:style w:type="character" w:styleId="824" w:customStyle="1">
    <w:name w:val="ListLabel 36"/>
    <w:qFormat/>
    <w:rPr>
      <w:rFonts w:cs="Wingdings"/>
    </w:rPr>
  </w:style>
  <w:style w:type="character" w:styleId="825" w:customStyle="1">
    <w:name w:val="ListLabel 37"/>
    <w:qFormat/>
    <w:rPr>
      <w:rFonts w:cs="Symbol"/>
    </w:rPr>
  </w:style>
  <w:style w:type="character" w:styleId="826" w:customStyle="1">
    <w:name w:val="ListLabel 38"/>
    <w:qFormat/>
    <w:rPr>
      <w:rFonts w:cs="Courier New"/>
    </w:rPr>
  </w:style>
  <w:style w:type="character" w:styleId="827" w:customStyle="1">
    <w:name w:val="ListLabel 39"/>
    <w:qFormat/>
    <w:rPr>
      <w:rFonts w:cs="Wingdings"/>
    </w:rPr>
  </w:style>
  <w:style w:type="character" w:styleId="828" w:customStyle="1">
    <w:name w:val="ListLabel 40"/>
    <w:qFormat/>
    <w:rPr>
      <w:sz w:val="20"/>
    </w:rPr>
  </w:style>
  <w:style w:type="character" w:styleId="829" w:customStyle="1">
    <w:name w:val="ListLabel 41"/>
    <w:qFormat/>
    <w:rPr>
      <w:sz w:val="20"/>
    </w:rPr>
  </w:style>
  <w:style w:type="character" w:styleId="830" w:customStyle="1">
    <w:name w:val="ListLabel 42"/>
    <w:qFormat/>
    <w:rPr>
      <w:sz w:val="20"/>
    </w:rPr>
  </w:style>
  <w:style w:type="character" w:styleId="831" w:customStyle="1">
    <w:name w:val="ListLabel 43"/>
    <w:qFormat/>
    <w:rPr>
      <w:sz w:val="20"/>
    </w:rPr>
  </w:style>
  <w:style w:type="character" w:styleId="832" w:customStyle="1">
    <w:name w:val="ListLabel 44"/>
    <w:qFormat/>
    <w:rPr>
      <w:sz w:val="20"/>
    </w:rPr>
  </w:style>
  <w:style w:type="character" w:styleId="833" w:customStyle="1">
    <w:name w:val="ListLabel 45"/>
    <w:qFormat/>
    <w:rPr>
      <w:sz w:val="20"/>
    </w:rPr>
  </w:style>
  <w:style w:type="character" w:styleId="834" w:customStyle="1">
    <w:name w:val="ListLabel 46"/>
    <w:qFormat/>
    <w:rPr>
      <w:sz w:val="20"/>
    </w:rPr>
  </w:style>
  <w:style w:type="character" w:styleId="835" w:customStyle="1">
    <w:name w:val="ListLabel 47"/>
    <w:qFormat/>
    <w:rPr>
      <w:sz w:val="20"/>
    </w:rPr>
  </w:style>
  <w:style w:type="character" w:styleId="836" w:customStyle="1">
    <w:name w:val="ListLabel 48"/>
    <w:qFormat/>
    <w:rPr>
      <w:sz w:val="20"/>
    </w:rPr>
  </w:style>
  <w:style w:type="character" w:styleId="837" w:customStyle="1">
    <w:name w:val="ListLabel 49"/>
    <w:qFormat/>
    <w:rPr>
      <w:rFonts w:cs="Courier New"/>
    </w:rPr>
  </w:style>
  <w:style w:type="character" w:styleId="838" w:customStyle="1">
    <w:name w:val="ListLabel 50"/>
    <w:qFormat/>
    <w:rPr>
      <w:rFonts w:cs="Courier New"/>
    </w:rPr>
  </w:style>
  <w:style w:type="character" w:styleId="839" w:customStyle="1">
    <w:name w:val="ListLabel 51"/>
    <w:qFormat/>
    <w:rPr>
      <w:rFonts w:cs="Courier New"/>
    </w:rPr>
  </w:style>
  <w:style w:type="character" w:styleId="840" w:customStyle="1">
    <w:name w:val="ListLabel 52"/>
    <w:qFormat/>
    <w:rPr>
      <w:rFonts w:cs="Times New Roman"/>
      <w:sz w:val="25"/>
      <w:szCs w:val="25"/>
    </w:rPr>
  </w:style>
  <w:style w:type="character" w:styleId="841" w:customStyle="1">
    <w:name w:val="ListLabel 53"/>
    <w:qFormat/>
    <w:rPr>
      <w:rFonts w:eastAsia="Arial Unicode MS" w:cs="Times New Roman"/>
      <w:bCs/>
      <w:color w:val="0000ff"/>
      <w:sz w:val="25"/>
      <w:szCs w:val="25"/>
      <w:u w:val="single"/>
      <w:lang w:val="en-US" w:eastAsia="ru-RU"/>
    </w:rPr>
  </w:style>
  <w:style w:type="character" w:styleId="842" w:customStyle="1">
    <w:name w:val="Основной текст Знак1"/>
    <w:basedOn w:val="746"/>
    <w:qFormat/>
    <w:rPr>
      <w:rFonts w:cs="Times New Roman"/>
      <w:color w:val="00000a"/>
      <w:lang w:val="ru-RU"/>
    </w:rPr>
  </w:style>
  <w:style w:type="character" w:styleId="843" w:customStyle="1">
    <w:name w:val="Красная строка Знак"/>
    <w:basedOn w:val="842"/>
    <w:uiPriority w:val="99"/>
    <w:semiHidden/>
    <w:qFormat/>
    <w:rPr>
      <w:rFonts w:cs="Times New Roman"/>
      <w:color w:val="00000a"/>
      <w:lang w:val="ru-RU"/>
    </w:rPr>
  </w:style>
  <w:style w:type="character" w:styleId="844" w:customStyle="1">
    <w:name w:val="Основний текст Знак"/>
    <w:basedOn w:val="746"/>
    <w:link w:val="905"/>
    <w:uiPriority w:val="1"/>
    <w:qFormat/>
    <w:rPr>
      <w:rFonts w:asciiTheme="majorHAnsi" w:hAnsiTheme="majorHAnsi" w:eastAsiaTheme="majorEastAsia" w:cstheme="majorBidi"/>
      <w:color w:val="2e74b5" w:themeColor="accent1" w:themeShade="BF"/>
      <w:sz w:val="32"/>
      <w:szCs w:val="32"/>
    </w:rPr>
  </w:style>
  <w:style w:type="character" w:styleId="845" w:customStyle="1">
    <w:name w:val="Верхний колонтитул Знак"/>
    <w:basedOn w:val="746"/>
    <w:uiPriority w:val="99"/>
    <w:qFormat/>
  </w:style>
  <w:style w:type="character" w:styleId="846" w:customStyle="1">
    <w:name w:val="Нижний колонтитул Знак"/>
    <w:basedOn w:val="746"/>
    <w:uiPriority w:val="99"/>
    <w:qFormat/>
  </w:style>
  <w:style w:type="character" w:styleId="847" w:customStyle="1">
    <w:name w:val="Обычный (Интернет) Знак"/>
    <w:uiPriority w:val="99"/>
    <w:qFormat/>
    <w:rPr>
      <w:rFonts w:ascii="Cambria" w:hAnsi="Cambria"/>
    </w:rPr>
  </w:style>
  <w:style w:type="character" w:styleId="848" w:customStyle="1">
    <w:name w:val="Основной текст (3)_"/>
    <w:basedOn w:val="746"/>
    <w:link w:val="917"/>
    <w:qFormat/>
    <w:rPr>
      <w:rFonts w:eastAsia="Times New Roman" w:cs="Times New Roman"/>
      <w:shd w:val="clear" w:color="auto" w:fill="ffffff"/>
    </w:rPr>
  </w:style>
  <w:style w:type="character" w:styleId="849" w:customStyle="1">
    <w:name w:val="ListLabel 54"/>
    <w:qFormat/>
    <w:rPr>
      <w:rFonts w:ascii="Times New Roman" w:hAnsi="Times New Roman"/>
      <w:b/>
      <w:sz w:val="24"/>
    </w:rPr>
  </w:style>
  <w:style w:type="character" w:styleId="850" w:customStyle="1">
    <w:name w:val="ListLabel 55"/>
    <w:qFormat/>
    <w:rPr>
      <w:rFonts w:ascii="Times New Roman" w:hAnsi="Times New Roman"/>
      <w:b/>
      <w:sz w:val="24"/>
    </w:rPr>
  </w:style>
  <w:style w:type="character" w:styleId="851" w:customStyle="1">
    <w:name w:val="ListLabel 56"/>
    <w:qFormat/>
    <w:rPr>
      <w:rFonts w:ascii="Times New Roman" w:hAnsi="Times New Roman"/>
      <w:b/>
      <w:sz w:val="24"/>
    </w:rPr>
  </w:style>
  <w:style w:type="character" w:styleId="852" w:customStyle="1">
    <w:name w:val="ListLabel 57"/>
    <w:qFormat/>
    <w:rPr>
      <w:rFonts w:cs="Symbol"/>
      <w:sz w:val="25"/>
    </w:rPr>
  </w:style>
  <w:style w:type="character" w:styleId="853" w:customStyle="1">
    <w:name w:val="ListLabel 58"/>
    <w:qFormat/>
    <w:rPr>
      <w:rFonts w:cs="Courier New"/>
    </w:rPr>
  </w:style>
  <w:style w:type="character" w:styleId="854" w:customStyle="1">
    <w:name w:val="ListLabel 59"/>
    <w:qFormat/>
    <w:rPr>
      <w:rFonts w:cs="Wingdings"/>
    </w:rPr>
  </w:style>
  <w:style w:type="character" w:styleId="855" w:customStyle="1">
    <w:name w:val="ListLabel 60"/>
    <w:qFormat/>
    <w:rPr>
      <w:rFonts w:cs="Symbol"/>
    </w:rPr>
  </w:style>
  <w:style w:type="character" w:styleId="856" w:customStyle="1">
    <w:name w:val="ListLabel 61"/>
    <w:qFormat/>
    <w:rPr>
      <w:rFonts w:cs="Courier New"/>
    </w:rPr>
  </w:style>
  <w:style w:type="character" w:styleId="857" w:customStyle="1">
    <w:name w:val="ListLabel 62"/>
    <w:qFormat/>
    <w:rPr>
      <w:rFonts w:cs="Wingdings"/>
    </w:rPr>
  </w:style>
  <w:style w:type="character" w:styleId="858" w:customStyle="1">
    <w:name w:val="ListLabel 63"/>
    <w:qFormat/>
    <w:rPr>
      <w:rFonts w:cs="Symbol"/>
    </w:rPr>
  </w:style>
  <w:style w:type="character" w:styleId="859" w:customStyle="1">
    <w:name w:val="ListLabel 64"/>
    <w:qFormat/>
    <w:rPr>
      <w:rFonts w:cs="Courier New"/>
    </w:rPr>
  </w:style>
  <w:style w:type="character" w:styleId="860" w:customStyle="1">
    <w:name w:val="ListLabel 65"/>
    <w:qFormat/>
    <w:rPr>
      <w:rFonts w:cs="Wingdings"/>
    </w:rPr>
  </w:style>
  <w:style w:type="character" w:styleId="861" w:customStyle="1">
    <w:name w:val="ListLabel 66"/>
    <w:qFormat/>
    <w:rPr>
      <w:b/>
    </w:rPr>
  </w:style>
  <w:style w:type="character" w:styleId="862" w:customStyle="1">
    <w:name w:val="ListLabel 67"/>
    <w:qFormat/>
    <w:rPr>
      <w:rFonts w:cs="Symbol"/>
      <w:sz w:val="24"/>
    </w:rPr>
  </w:style>
  <w:style w:type="character" w:styleId="863" w:customStyle="1">
    <w:name w:val="ListLabel 68"/>
    <w:qFormat/>
    <w:rPr>
      <w:rFonts w:cs="Courier New"/>
    </w:rPr>
  </w:style>
  <w:style w:type="character" w:styleId="864" w:customStyle="1">
    <w:name w:val="ListLabel 69"/>
    <w:qFormat/>
    <w:rPr>
      <w:rFonts w:cs="Wingdings"/>
    </w:rPr>
  </w:style>
  <w:style w:type="character" w:styleId="865" w:customStyle="1">
    <w:name w:val="ListLabel 70"/>
    <w:qFormat/>
    <w:rPr>
      <w:rFonts w:cs="Symbol"/>
    </w:rPr>
  </w:style>
  <w:style w:type="character" w:styleId="866" w:customStyle="1">
    <w:name w:val="ListLabel 71"/>
    <w:qFormat/>
    <w:rPr>
      <w:rFonts w:cs="Courier New"/>
    </w:rPr>
  </w:style>
  <w:style w:type="character" w:styleId="867" w:customStyle="1">
    <w:name w:val="ListLabel 72"/>
    <w:qFormat/>
    <w:rPr>
      <w:rFonts w:cs="Wingdings"/>
    </w:rPr>
  </w:style>
  <w:style w:type="character" w:styleId="868" w:customStyle="1">
    <w:name w:val="ListLabel 73"/>
    <w:qFormat/>
    <w:rPr>
      <w:rFonts w:cs="Symbol"/>
    </w:rPr>
  </w:style>
  <w:style w:type="character" w:styleId="869" w:customStyle="1">
    <w:name w:val="ListLabel 74"/>
    <w:qFormat/>
    <w:rPr>
      <w:rFonts w:cs="Courier New"/>
    </w:rPr>
  </w:style>
  <w:style w:type="character" w:styleId="870" w:customStyle="1">
    <w:name w:val="ListLabel 75"/>
    <w:qFormat/>
    <w:rPr>
      <w:rFonts w:cs="Wingdings"/>
    </w:rPr>
  </w:style>
  <w:style w:type="character" w:styleId="871" w:customStyle="1">
    <w:name w:val="ListLabel 76"/>
    <w:qFormat/>
    <w:rPr>
      <w:rFonts w:cs="Courier New"/>
    </w:rPr>
  </w:style>
  <w:style w:type="character" w:styleId="872" w:customStyle="1">
    <w:name w:val="ListLabel 77"/>
    <w:qFormat/>
    <w:rPr>
      <w:rFonts w:cs="Wingdings"/>
    </w:rPr>
  </w:style>
  <w:style w:type="character" w:styleId="873" w:customStyle="1">
    <w:name w:val="ListLabel 78"/>
    <w:qFormat/>
    <w:rPr>
      <w:rFonts w:cs="Symbol"/>
    </w:rPr>
  </w:style>
  <w:style w:type="character" w:styleId="874" w:customStyle="1">
    <w:name w:val="ListLabel 79"/>
    <w:qFormat/>
    <w:rPr>
      <w:rFonts w:cs="Courier New"/>
    </w:rPr>
  </w:style>
  <w:style w:type="character" w:styleId="875" w:customStyle="1">
    <w:name w:val="ListLabel 80"/>
    <w:qFormat/>
    <w:rPr>
      <w:rFonts w:cs="Wingdings"/>
    </w:rPr>
  </w:style>
  <w:style w:type="character" w:styleId="876" w:customStyle="1">
    <w:name w:val="ListLabel 81"/>
    <w:qFormat/>
    <w:rPr>
      <w:rFonts w:cs="Symbol"/>
    </w:rPr>
  </w:style>
  <w:style w:type="character" w:styleId="877" w:customStyle="1">
    <w:name w:val="ListLabel 82"/>
    <w:qFormat/>
    <w:rPr>
      <w:rFonts w:cs="Courier New"/>
    </w:rPr>
  </w:style>
  <w:style w:type="character" w:styleId="878" w:customStyle="1">
    <w:name w:val="ListLabel 83"/>
    <w:qFormat/>
    <w:rPr>
      <w:rFonts w:cs="Wingdings"/>
    </w:rPr>
  </w:style>
  <w:style w:type="character" w:styleId="879" w:customStyle="1">
    <w:name w:val="ListLabel 84"/>
    <w:qFormat/>
    <w:rPr>
      <w:rFonts w:ascii="Times New Roman" w:hAnsi="Times New Roman" w:cs="Symbol"/>
      <w:sz w:val="24"/>
    </w:rPr>
  </w:style>
  <w:style w:type="character" w:styleId="880" w:customStyle="1">
    <w:name w:val="ListLabel 85"/>
    <w:qFormat/>
    <w:rPr>
      <w:rFonts w:cs="Courier New"/>
    </w:rPr>
  </w:style>
  <w:style w:type="character" w:styleId="881" w:customStyle="1">
    <w:name w:val="ListLabel 86"/>
    <w:qFormat/>
    <w:rPr>
      <w:rFonts w:cs="Wingdings"/>
    </w:rPr>
  </w:style>
  <w:style w:type="character" w:styleId="882" w:customStyle="1">
    <w:name w:val="ListLabel 87"/>
    <w:qFormat/>
    <w:rPr>
      <w:rFonts w:cs="Symbol"/>
    </w:rPr>
  </w:style>
  <w:style w:type="character" w:styleId="883" w:customStyle="1">
    <w:name w:val="ListLabel 88"/>
    <w:qFormat/>
    <w:rPr>
      <w:rFonts w:cs="Courier New"/>
    </w:rPr>
  </w:style>
  <w:style w:type="character" w:styleId="884" w:customStyle="1">
    <w:name w:val="ListLabel 89"/>
    <w:qFormat/>
    <w:rPr>
      <w:rFonts w:cs="Wingdings"/>
    </w:rPr>
  </w:style>
  <w:style w:type="character" w:styleId="885" w:customStyle="1">
    <w:name w:val="ListLabel 90"/>
    <w:qFormat/>
    <w:rPr>
      <w:rFonts w:cs="Symbol"/>
    </w:rPr>
  </w:style>
  <w:style w:type="character" w:styleId="886" w:customStyle="1">
    <w:name w:val="ListLabel 91"/>
    <w:qFormat/>
    <w:rPr>
      <w:rFonts w:cs="Courier New"/>
    </w:rPr>
  </w:style>
  <w:style w:type="character" w:styleId="887" w:customStyle="1">
    <w:name w:val="ListLabel 92"/>
    <w:qFormat/>
    <w:rPr>
      <w:rFonts w:cs="Wingdings"/>
    </w:rPr>
  </w:style>
  <w:style w:type="character" w:styleId="888" w:customStyle="1">
    <w:name w:val="ListLabel 93"/>
    <w:qFormat/>
    <w:rPr>
      <w:b/>
    </w:rPr>
  </w:style>
  <w:style w:type="character" w:styleId="889" w:customStyle="1">
    <w:name w:val="ListLabel 94"/>
    <w:qFormat/>
    <w:rPr>
      <w:b w:val="0"/>
    </w:rPr>
  </w:style>
  <w:style w:type="character" w:styleId="890" w:customStyle="1">
    <w:name w:val="ListLabel 95"/>
    <w:qFormat/>
    <w:rPr>
      <w:rFonts w:cs="Times New Roman"/>
      <w:sz w:val="27"/>
    </w:rPr>
  </w:style>
  <w:style w:type="character" w:styleId="891" w:customStyle="1">
    <w:name w:val="ListLabel 96"/>
    <w:qFormat/>
    <w:rPr>
      <w:rFonts w:cs="Times New Roman"/>
      <w:b w:val="0"/>
      <w:sz w:val="28"/>
      <w:szCs w:val="28"/>
    </w:rPr>
  </w:style>
  <w:style w:type="character" w:styleId="892" w:customStyle="1">
    <w:name w:val="ListLabel 97"/>
    <w:qFormat/>
    <w:rPr>
      <w:sz w:val="27"/>
    </w:rPr>
  </w:style>
  <w:style w:type="character" w:styleId="893" w:customStyle="1">
    <w:name w:val="ListLabel 98"/>
    <w:qFormat/>
    <w:rPr>
      <w:rFonts w:cs="Times New Roman"/>
      <w:sz w:val="27"/>
    </w:rPr>
  </w:style>
  <w:style w:type="character" w:styleId="894" w:customStyle="1">
    <w:name w:val="ListLabel 99"/>
    <w:qFormat/>
    <w:rPr>
      <w:rFonts w:cs="Times New Roman"/>
      <w:sz w:val="27"/>
    </w:rPr>
  </w:style>
  <w:style w:type="character" w:styleId="895" w:customStyle="1">
    <w:name w:val="ListLabel 100"/>
    <w:qFormat/>
    <w:rPr>
      <w:rFonts w:cs="Times New Roman"/>
      <w:sz w:val="27"/>
    </w:rPr>
  </w:style>
  <w:style w:type="character" w:styleId="896" w:customStyle="1">
    <w:name w:val="ListLabel 101"/>
    <w:qFormat/>
    <w:rPr>
      <w:rFonts w:cs="Times New Roman"/>
      <w:sz w:val="27"/>
    </w:rPr>
  </w:style>
  <w:style w:type="character" w:styleId="897" w:customStyle="1">
    <w:name w:val="ListLabel 102"/>
    <w:qFormat/>
    <w:rPr>
      <w:rFonts w:cs="Times New Roman"/>
      <w:sz w:val="27"/>
    </w:rPr>
  </w:style>
  <w:style w:type="character" w:styleId="898" w:customStyle="1">
    <w:name w:val="ListLabel 103"/>
    <w:qFormat/>
    <w:rPr>
      <w:rFonts w:cs="Times New Roman"/>
      <w:sz w:val="27"/>
    </w:rPr>
  </w:style>
  <w:style w:type="character" w:styleId="899" w:customStyle="1">
    <w:name w:val="ListLabel 104"/>
    <w:qFormat/>
    <w:rPr>
      <w:rFonts w:cs="Courier New"/>
    </w:rPr>
  </w:style>
  <w:style w:type="character" w:styleId="900" w:customStyle="1">
    <w:name w:val="ListLabel 105"/>
    <w:qFormat/>
    <w:rPr>
      <w:rFonts w:cs="Courier New"/>
    </w:rPr>
  </w:style>
  <w:style w:type="character" w:styleId="901" w:customStyle="1">
    <w:name w:val="ListLabel 106"/>
    <w:qFormat/>
    <w:rPr>
      <w:rFonts w:cs="Courier New"/>
    </w:rPr>
  </w:style>
  <w:style w:type="character" w:styleId="902" w:customStyle="1">
    <w:name w:val="ListLabel 107"/>
    <w:qFormat/>
    <w:rPr>
      <w:rFonts w:ascii="Times New Roman" w:hAnsi="Times New Roman" w:eastAsia="Calibri" w:cs="Times New Roman"/>
      <w:sz w:val="24"/>
      <w:szCs w:val="24"/>
      <w:shd w:val="clear" w:color="auto" w:fill="ffffff"/>
      <w:lang w:eastAsia="ru-RU"/>
    </w:rPr>
  </w:style>
  <w:style w:type="character" w:styleId="903" w:customStyle="1">
    <w:name w:val="ListLabel 108"/>
    <w:qFormat/>
    <w:rPr>
      <w:rFonts w:ascii="Times New Roman" w:hAnsi="Times New Roman" w:eastAsia="Calibri" w:cs="Times New Roman"/>
      <w:sz w:val="24"/>
      <w:szCs w:val="24"/>
      <w:lang w:eastAsia="ru-RU"/>
    </w:rPr>
  </w:style>
  <w:style w:type="paragraph" w:styleId="904" w:customStyle="1">
    <w:name w:val="Heading"/>
    <w:basedOn w:val="743"/>
    <w:next w:val="905"/>
    <w:qFormat/>
    <w:pPr>
      <w:keepNext/>
      <w:spacing w:before="240" w:after="120"/>
    </w:pPr>
    <w:rPr>
      <w:rFonts w:ascii="Liberation Sans" w:hAnsi="Liberation Sans" w:eastAsia="Droid Sans Fallback" w:cs="FreeSans"/>
      <w:sz w:val="28"/>
      <w:szCs w:val="28"/>
    </w:rPr>
  </w:style>
  <w:style w:type="paragraph" w:styleId="905">
    <w:name w:val="Body Text"/>
    <w:basedOn w:val="743"/>
    <w:link w:val="844"/>
    <w:uiPriority w:val="1"/>
    <w:qFormat/>
    <w:pPr>
      <w:spacing w:after="140" w:line="288" w:lineRule="auto"/>
    </w:pPr>
    <w:rPr>
      <w:rFonts w:asciiTheme="majorHAnsi" w:hAnsiTheme="majorHAnsi" w:eastAsiaTheme="majorEastAsia" w:cstheme="majorBidi"/>
      <w:color w:val="2e74b5" w:themeColor="accent1" w:themeShade="BF"/>
      <w:sz w:val="32"/>
      <w:szCs w:val="32"/>
      <w:lang w:val="ru-RU"/>
    </w:rPr>
  </w:style>
  <w:style w:type="character" w:styleId="906" w:customStyle="1">
    <w:name w:val="Основний текст Знак1"/>
    <w:basedOn w:val="746"/>
    <w:uiPriority w:val="99"/>
    <w:semiHidden/>
    <w:rPr>
      <w:lang w:val="uk-UA"/>
    </w:rPr>
  </w:style>
  <w:style w:type="paragraph" w:styleId="907">
    <w:name w:val="List"/>
    <w:basedOn w:val="905"/>
    <w:rPr>
      <w:rFonts w:cs="FreeSans"/>
    </w:rPr>
  </w:style>
  <w:style w:type="paragraph" w:styleId="908">
    <w:name w:val="Caption"/>
    <w:basedOn w:val="743"/>
    <w:qFormat/>
    <w:pPr>
      <w:spacing w:before="120" w:after="120"/>
      <w:suppressLineNumbers/>
    </w:pPr>
    <w:rPr>
      <w:rFonts w:cs="FreeSans"/>
      <w:i/>
      <w:iCs/>
      <w:sz w:val="24"/>
      <w:szCs w:val="24"/>
    </w:rPr>
  </w:style>
  <w:style w:type="paragraph" w:styleId="909" w:customStyle="1">
    <w:name w:val="Index"/>
    <w:basedOn w:val="743"/>
    <w:qFormat/>
    <w:pPr>
      <w:suppressLineNumbers/>
    </w:pPr>
    <w:rPr>
      <w:rFonts w:cs="FreeSans"/>
    </w:rPr>
  </w:style>
  <w:style w:type="paragraph" w:styleId="910" w:customStyle="1">
    <w:name w:val="Обычный1"/>
    <w:qFormat/>
    <w:pPr>
      <w:spacing w:after="0" w:line="240" w:lineRule="auto"/>
    </w:pPr>
    <w:rPr>
      <w:rFonts w:ascii="Times New Roman" w:hAnsi="Times New Roman" w:eastAsia="Times New Roman" w:cs="Liberation Serif"/>
      <w:sz w:val="24"/>
      <w:szCs w:val="24"/>
      <w:lang w:val="uk-UA" w:eastAsia="zh-CN"/>
    </w:rPr>
  </w:style>
  <w:style w:type="paragraph" w:styleId="911">
    <w:name w:val="annotation subject"/>
    <w:basedOn w:val="778"/>
    <w:next w:val="778"/>
    <w:link w:val="912"/>
    <w:uiPriority w:val="99"/>
    <w:semiHidden/>
    <w:unhideWhenUsed/>
    <w:qFormat/>
    <w:pPr>
      <w:spacing w:after="160"/>
      <w:widowControl/>
    </w:pPr>
    <w:rPr>
      <w:rFonts w:asciiTheme="minorHAnsi" w:hAnsiTheme="minorHAnsi" w:eastAsiaTheme="minorHAnsi" w:cstheme="minorBidi"/>
      <w:b/>
      <w:bCs/>
      <w:lang w:val="uk-UA" w:eastAsia="en-US"/>
    </w:rPr>
  </w:style>
  <w:style w:type="character" w:styleId="912" w:customStyle="1">
    <w:name w:val="Тема примітки Знак"/>
    <w:basedOn w:val="779"/>
    <w:link w:val="911"/>
    <w:uiPriority w:val="99"/>
    <w:semiHidden/>
    <w:rPr>
      <w:rFonts w:ascii="Times New Roman" w:hAnsi="Times New Roman" w:eastAsia="Times New Roman" w:cs="Times New Roman"/>
      <w:b/>
      <w:bCs/>
      <w:sz w:val="20"/>
      <w:szCs w:val="20"/>
      <w:lang w:val="uk-UA" w:eastAsia="ru-RU"/>
    </w:rPr>
  </w:style>
  <w:style w:type="paragraph" w:styleId="913">
    <w:name w:val="Body Text Indent"/>
    <w:basedOn w:val="905"/>
    <w:link w:val="914"/>
    <w:uiPriority w:val="99"/>
    <w:semiHidden/>
    <w:unhideWhenUsed/>
    <w:qFormat/>
    <w:pPr>
      <w:ind w:firstLine="360"/>
      <w:spacing w:after="160" w:line="259" w:lineRule="auto"/>
    </w:pPr>
    <w:rPr>
      <w:rFonts w:cstheme="minorBidi"/>
      <w:color w:val="auto"/>
    </w:rPr>
  </w:style>
  <w:style w:type="character" w:styleId="914" w:customStyle="1">
    <w:name w:val="Основний текст з відступом Знак"/>
    <w:basedOn w:val="746"/>
    <w:link w:val="913"/>
    <w:uiPriority w:val="99"/>
    <w:semiHidden/>
    <w:rPr>
      <w:rFonts w:asciiTheme="majorHAnsi" w:hAnsiTheme="majorHAnsi" w:eastAsiaTheme="majorEastAsia"/>
      <w:sz w:val="32"/>
      <w:szCs w:val="32"/>
    </w:rPr>
  </w:style>
  <w:style w:type="paragraph" w:styleId="915">
    <w:name w:val="Header"/>
    <w:basedOn w:val="743"/>
    <w:link w:val="916"/>
    <w:uiPriority w:val="99"/>
    <w:unhideWhenUsed/>
    <w:pPr>
      <w:spacing w:after="0" w:line="240" w:lineRule="auto"/>
      <w:tabs>
        <w:tab w:val="center" w:pos="4819" w:leader="none"/>
        <w:tab w:val="right" w:pos="9639" w:leader="none"/>
      </w:tabs>
    </w:pPr>
  </w:style>
  <w:style w:type="character" w:styleId="916" w:customStyle="1">
    <w:name w:val="Верхній колонтитул Знак"/>
    <w:basedOn w:val="746"/>
    <w:link w:val="915"/>
    <w:uiPriority w:val="99"/>
    <w:rPr>
      <w:lang w:val="uk-UA"/>
    </w:rPr>
  </w:style>
  <w:style w:type="paragraph" w:styleId="917" w:customStyle="1">
    <w:name w:val="Основной текст (3)"/>
    <w:basedOn w:val="743"/>
    <w:link w:val="848"/>
    <w:qFormat/>
    <w:pPr>
      <w:ind w:hanging="440"/>
      <w:jc w:val="center"/>
      <w:spacing w:after="240" w:line="281" w:lineRule="exact"/>
      <w:shd w:val="clear" w:color="auto" w:fill="ffffff"/>
      <w:widowControl w:val="off"/>
    </w:pPr>
    <w:rPr>
      <w:rFonts w:eastAsia="Times New Roman" w:cs="Times New Roman"/>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zakon.rada.gov.ua/laws/show/z0093-98" TargetMode="External"/><Relationship Id="rId12" Type="http://schemas.openxmlformats.org/officeDocument/2006/relationships/hyperlink" Target="https://zakon.rada.gov.ua/laws/show/z0252-1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149</cp:revision>
  <dcterms:created xsi:type="dcterms:W3CDTF">2022-11-01T12:47:00Z</dcterms:created>
  <dcterms:modified xsi:type="dcterms:W3CDTF">2024-01-02T11:47:43Z</dcterms:modified>
</cp:coreProperties>
</file>