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автоматичних розсувних дверей із встановленням за ДК 021:2015: 44220000-8 Столярні вироби (44221230-6 Розсувні двері)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03</w:t>
      </w:r>
      <w:r>
        <w:rPr>
          <w:rFonts w:ascii="Times New Roman" w:hAnsi="Times New Roman" w:cs="Times New Roman"/>
          <w:sz w:val="24"/>
          <w:szCs w:val="24"/>
        </w:rPr>
        <w:t xml:space="preserve">-</w:t>
      </w:r>
      <w:r>
        <w:rPr>
          <w:rFonts w:ascii="Times New Roman" w:hAnsi="Times New Roman" w:cs="Times New Roman"/>
          <w:sz w:val="24"/>
          <w:szCs w:val="24"/>
        </w:rPr>
        <w:t xml:space="preserve">013106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автоматичних розсувних дверей із встановленням</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1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14"/>
              <w:jc w:val="center"/>
              <w:rPr>
                <w:b/>
                <w:bCs/>
              </w:rPr>
            </w:pPr>
            <w:r>
              <w:rPr>
                <w:b/>
                <w:bCs/>
              </w:rPr>
              <w:t xml:space="preserve">№ п/п</w:t>
            </w:r>
            <w:r/>
          </w:p>
        </w:tc>
        <w:tc>
          <w:tcPr>
            <w:tcW w:w="5670" w:type="dxa"/>
            <w:textDirection w:val="lrTb"/>
            <w:noWrap w:val="false"/>
          </w:tcPr>
          <w:p>
            <w:pPr>
              <w:pStyle w:val="714"/>
              <w:jc w:val="center"/>
              <w:rPr>
                <w:b/>
                <w:bCs/>
              </w:rPr>
            </w:pPr>
            <w:r>
              <w:rPr>
                <w:b/>
                <w:bCs/>
              </w:rPr>
              <w:t xml:space="preserve">Назва системи</w:t>
            </w:r>
            <w:r/>
          </w:p>
        </w:tc>
        <w:tc>
          <w:tcPr>
            <w:tcW w:w="1701" w:type="dxa"/>
            <w:textDirection w:val="lrTb"/>
            <w:noWrap w:val="false"/>
          </w:tcPr>
          <w:p>
            <w:pPr>
              <w:pStyle w:val="714"/>
              <w:jc w:val="center"/>
              <w:rPr>
                <w:b/>
                <w:bCs/>
              </w:rPr>
            </w:pPr>
            <w:r>
              <w:rPr>
                <w:b/>
                <w:bCs/>
              </w:rPr>
              <w:t xml:space="preserve">Одиниця виміру</w:t>
            </w:r>
            <w:r/>
          </w:p>
        </w:tc>
        <w:tc>
          <w:tcPr>
            <w:tcW w:w="1701" w:type="dxa"/>
            <w:textDirection w:val="lrTb"/>
            <w:noWrap w:val="false"/>
          </w:tcPr>
          <w:p>
            <w:pPr>
              <w:pStyle w:val="714"/>
              <w:jc w:val="center"/>
              <w:rPr>
                <w:b/>
                <w:bCs/>
              </w:rPr>
            </w:pPr>
            <w:r>
              <w:rPr>
                <w:b/>
                <w:bCs/>
              </w:rPr>
              <w:t xml:space="preserve">Кількість</w:t>
            </w:r>
            <w:r/>
          </w:p>
        </w:tc>
      </w:tr>
      <w:tr>
        <w:trPr/>
        <w:tc>
          <w:tcPr>
            <w:tcW w:w="562" w:type="dxa"/>
            <w:vAlign w:val="center"/>
            <w:textDirection w:val="lrTb"/>
            <w:noWrap w:val="false"/>
          </w:tcPr>
          <w:p>
            <w:pPr>
              <w:pStyle w:val="714"/>
              <w:jc w:val="center"/>
            </w:pPr>
            <w:r>
              <w:rPr>
                <w:b/>
                <w:bCs/>
              </w:rPr>
              <w:t xml:space="preserve">1</w:t>
            </w:r>
            <w:r/>
          </w:p>
        </w:tc>
        <w:tc>
          <w:tcPr>
            <w:tcW w:w="5670" w:type="dxa"/>
            <w:textDirection w:val="lrTb"/>
            <w:noWrap w:val="false"/>
          </w:tcPr>
          <w:p>
            <w:pPr>
              <w:pStyle w:val="714"/>
              <w:jc w:val="both"/>
              <w:rPr>
                <w:b/>
                <w:bCs/>
              </w:rPr>
            </w:pPr>
            <w:r>
              <w:rPr>
                <w:b/>
                <w:bCs/>
              </w:rPr>
              <w:t xml:space="preserve">Автоматичні розсувні двері (телескопічні)</w:t>
            </w:r>
            <w:r/>
          </w:p>
        </w:tc>
        <w:tc>
          <w:tcPr>
            <w:tcW w:w="1701" w:type="dxa"/>
            <w:vAlign w:val="center"/>
            <w:textDirection w:val="lrTb"/>
            <w:noWrap w:val="false"/>
          </w:tcPr>
          <w:p>
            <w:pPr>
              <w:pStyle w:val="714"/>
              <w:jc w:val="center"/>
            </w:pPr>
            <w:r>
              <w:t xml:space="preserve">шт.</w:t>
            </w:r>
            <w:r/>
          </w:p>
        </w:tc>
        <w:tc>
          <w:tcPr>
            <w:tcW w:w="1701" w:type="dxa"/>
            <w:vAlign w:val="center"/>
            <w:textDirection w:val="lrTb"/>
            <w:noWrap w:val="false"/>
          </w:tcPr>
          <w:p>
            <w:pPr>
              <w:pStyle w:val="714"/>
              <w:jc w:val="center"/>
            </w:pPr>
            <w:r>
              <w:rPr>
                <w:b/>
              </w:rPr>
              <w:t xml:space="preserve">2</w:t>
            </w:r>
            <w:r/>
          </w:p>
        </w:tc>
      </w:tr>
      <w:tr>
        <w:trPr/>
        <w:tc>
          <w:tcPr>
            <w:tcW w:w="562" w:type="dxa"/>
            <w:vAlign w:val="center"/>
            <w:textDirection w:val="lrTb"/>
            <w:noWrap w:val="false"/>
          </w:tcPr>
          <w:p>
            <w:pPr>
              <w:pStyle w:val="714"/>
              <w:jc w:val="center"/>
            </w:pPr>
            <w:r>
              <w:rPr>
                <w:b/>
                <w:bCs/>
              </w:rPr>
              <w:t xml:space="preserve">2</w:t>
            </w:r>
            <w:r/>
          </w:p>
        </w:tc>
        <w:tc>
          <w:tcPr>
            <w:tcW w:w="5670" w:type="dxa"/>
            <w:textDirection w:val="lrTb"/>
            <w:noWrap w:val="false"/>
          </w:tcPr>
          <w:p>
            <w:pPr>
              <w:pStyle w:val="714"/>
              <w:jc w:val="both"/>
              <w:rPr>
                <w:b/>
                <w:bCs/>
              </w:rPr>
            </w:pPr>
            <w:r>
              <w:rPr>
                <w:b/>
                <w:bCs/>
              </w:rPr>
              <w:t xml:space="preserve">Двері телескопічні</w:t>
            </w:r>
            <w:r/>
          </w:p>
        </w:tc>
        <w:tc>
          <w:tcPr>
            <w:tcW w:w="1701" w:type="dxa"/>
            <w:vAlign w:val="center"/>
            <w:textDirection w:val="lrTb"/>
            <w:noWrap w:val="false"/>
          </w:tcPr>
          <w:p>
            <w:pPr>
              <w:pStyle w:val="714"/>
              <w:jc w:val="center"/>
            </w:pPr>
            <w:r>
              <w:t xml:space="preserve">шт.</w:t>
            </w:r>
            <w:r/>
          </w:p>
        </w:tc>
        <w:tc>
          <w:tcPr>
            <w:tcW w:w="1701" w:type="dxa"/>
            <w:vAlign w:val="center"/>
            <w:textDirection w:val="lrTb"/>
            <w:noWrap w:val="false"/>
          </w:tcPr>
          <w:p>
            <w:pPr>
              <w:pStyle w:val="714"/>
              <w:jc w:val="center"/>
            </w:pPr>
            <w:r>
              <w:rPr>
                <w:b/>
              </w:rPr>
              <w:t xml:space="preserve">1</w:t>
            </w:r>
            <w:r/>
          </w:p>
        </w:tc>
      </w:tr>
    </w:tbl>
    <w:p>
      <w:pPr>
        <w:pStyle w:val="714"/>
        <w:jc w:val="both"/>
        <w:spacing w:after="0" w:line="240" w:lineRule="auto"/>
        <w:rPr>
          <w:b/>
          <w:bCs/>
          <w:i/>
          <w:iCs/>
          <w:lang w:eastAsia="ru-RU"/>
        </w:rPr>
      </w:pPr>
      <w:r>
        <w:rPr>
          <w:b/>
          <w:bCs/>
          <w:i/>
          <w:iCs/>
          <w:lang w:eastAsia="ru-RU"/>
        </w:rPr>
      </w:r>
      <w:r/>
    </w:p>
    <w:p>
      <w:pPr>
        <w:pStyle w:val="71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w:t>
      </w:r>
      <w:r>
        <w:rPr>
          <w:b/>
          <w:bCs/>
          <w:i/>
          <w:iCs/>
          <w:lang w:eastAsia="ru-RU"/>
        </w:rPr>
        <w:t xml:space="preserve">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w:t>
      </w:r>
      <w:r>
        <w:rPr>
          <w:b/>
          <w:bCs/>
          <w:i/>
          <w:iCs/>
          <w:lang w:eastAsia="ru-RU"/>
        </w:rPr>
        <w:t xml:space="preserve">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монтаж, встановлення (введення в експлуатацію) Товару.</w:t>
      </w:r>
      <w:r/>
    </w:p>
    <w:p>
      <w:pPr>
        <w:pStyle w:val="714"/>
        <w:jc w:val="both"/>
        <w:spacing w:after="0" w:line="240" w:lineRule="auto"/>
        <w:rPr>
          <w:b/>
          <w:bCs/>
          <w:i/>
          <w:iCs/>
        </w:rPr>
      </w:pPr>
      <w:r>
        <w:rPr>
          <w:b/>
          <w:bCs/>
          <w:i/>
          <w:iCs/>
        </w:rPr>
      </w:r>
      <w:r/>
    </w:p>
    <w:p>
      <w:pPr>
        <w:pStyle w:val="714"/>
        <w:ind w:firstLine="567"/>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проєкту Договору.</w:t>
      </w:r>
      <w:bookmarkStart w:id="2" w:name="_Hlk131682113"/>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w:t>
      </w:r>
      <w:r>
        <w:rPr>
          <w:rFonts w:ascii="Times New Roman" w:hAnsi="Times New Roman" w:cs="Times New Roman"/>
          <w:sz w:val="24"/>
          <w:szCs w:val="24"/>
        </w:rPr>
        <w:t xml:space="preserve">обхідні для встановлення та витрати на них, Учаснику необхідно передбачити та внести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Учасник може за домовленістю із замовником відвідати об’єкт де планується встановлення дверей, а саме м. Львів (конкретна адреса буде вказана при бажанні відвідати об’єкт Замовника), провести обстеження відповідні заміри та уточнення щодо даної закупівлі.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У складі</w:t>
      </w:r>
      <w:r>
        <w:rPr>
          <w:rFonts w:ascii="Times New Roman" w:hAnsi="Times New Roman" w:cs="Times New Roman"/>
          <w:sz w:val="24"/>
          <w:szCs w:val="24"/>
        </w:rPr>
        <w:t xml:space="preserve"> тендерної пропозиції необхідно надати копію Сертифікату/ів відповідності (дійсні на момент подачі тендерної документації та протягом терміну поставки товару) на двері, фурнітуру та приводи, які видані державним органом та показують відповідність вимогам: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-Двері: ДСТУ Б В.2.6-48,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60335-1:2017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60335-1:2012; А11:2014; АС:2014; А12:2017,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IEC 60335-</w:t>
      </w:r>
      <w:r>
        <w:rPr>
          <w:rFonts w:ascii="Times New Roman" w:hAnsi="Times New Roman" w:cs="Times New Roman"/>
          <w:sz w:val="24"/>
          <w:szCs w:val="24"/>
        </w:rPr>
        <w:t xml:space="preserve">1:2010),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60335-2-103:2018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60335-2-103-2015;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IEC 60335-</w:t>
      </w:r>
      <w:r>
        <w:rPr>
          <w:rFonts w:ascii="Times New Roman" w:hAnsi="Times New Roman" w:cs="Times New Roman"/>
          <w:sz w:val="24"/>
          <w:szCs w:val="24"/>
        </w:rPr>
        <w:t xml:space="preserve">2-103:2006)</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60335-1:2017,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60335-2-103:2018, ДСТУ </w:t>
      </w:r>
      <w:r>
        <w:rPr>
          <w:rFonts w:ascii="Times New Roman" w:hAnsi="Times New Roman" w:cs="Times New Roman"/>
          <w:sz w:val="24"/>
          <w:szCs w:val="24"/>
          <w:lang w:val="en-US"/>
        </w:rPr>
        <w:t xml:space="preserve">EN </w:t>
      </w:r>
      <w:r>
        <w:rPr>
          <w:rFonts w:ascii="Times New Roman" w:hAnsi="Times New Roman" w:cs="Times New Roman"/>
          <w:sz w:val="24"/>
          <w:szCs w:val="24"/>
        </w:rPr>
        <w:t xml:space="preserve">61000-6-2:2018, ДСТУ </w:t>
      </w:r>
      <w:r>
        <w:rPr>
          <w:rFonts w:ascii="Times New Roman" w:hAnsi="Times New Roman" w:cs="Times New Roman"/>
          <w:sz w:val="24"/>
          <w:szCs w:val="24"/>
          <w:lang w:val="en-US"/>
        </w:rPr>
        <w:t xml:space="preserve">EN </w:t>
      </w:r>
      <w:r>
        <w:rPr>
          <w:rFonts w:ascii="Times New Roman" w:hAnsi="Times New Roman" w:cs="Times New Roman"/>
          <w:sz w:val="24"/>
          <w:szCs w:val="24"/>
        </w:rPr>
        <w:t xml:space="preserve">61000-6-3:2018</w:t>
      </w:r>
      <w:r/>
    </w:p>
    <w:p>
      <w:pPr>
        <w:ind w:firstLine="567"/>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-Фурнітура: ДСТУ БВ.2.6-13:2006, ДСТУ БВ.2.6-77:2009, ДСТУ </w:t>
      </w:r>
      <w:r>
        <w:rPr>
          <w:rFonts w:ascii="Times New Roman" w:hAnsi="Times New Roman" w:cs="Times New Roman"/>
          <w:sz w:val="24"/>
          <w:szCs w:val="24"/>
          <w:lang w:val="en-US"/>
        </w:rPr>
        <w:t xml:space="preserve">EN 1154</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2019</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10"/>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11130" w:type="dxa"/>
        <w:tblInd w:w="-998" w:type="dxa"/>
        <w:tblLook w:val="04A0" w:firstRow="1" w:lastRow="0" w:firstColumn="1" w:lastColumn="0" w:noHBand="0" w:noVBand="1"/>
      </w:tblPr>
      <w:tblGrid>
        <w:gridCol w:w="518"/>
        <w:gridCol w:w="3142"/>
        <w:gridCol w:w="6714"/>
        <w:gridCol w:w="833"/>
      </w:tblGrid>
      <w:tr>
        <w:trPr>
          <w:trHeight w:val="300"/>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з/п</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Найменування</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Примірний ескіз, комплектація</w: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w:t>
            </w:r>
            <w:r/>
          </w:p>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кість, шт</w:t>
            </w:r>
            <w:r/>
          </w:p>
        </w:tc>
      </w:tr>
      <w:tr>
        <w:trPr>
          <w:trHeight w:val="286"/>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b/>
                <w:bCs/>
                <w:sz w:val="24"/>
                <w:szCs w:val="24"/>
              </w:rPr>
              <w:t xml:space="preserve">Автоматичні розсувні двері (телескопічні)</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4095750" cy="22860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pic:cNvPicPr>
                              <pic:nvPr/>
                            </pic:nvPicPr>
                            <pic:blipFill>
                              <a:blip r:embed="rId11"/>
                              <a:stretch/>
                            </pic:blipFill>
                            <pic:spPr bwMode="auto">
                              <a:xfrm>
                                <a:off x="0" y="0"/>
                                <a:ext cx="4095750" cy="2286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2.5pt;height:180.0pt;mso-wrap-distance-left:0.0pt;mso-wrap-distance-top:0.0pt;mso-wrap-distance-right:0.0pt;mso-wrap-distance-bottom:0.0pt;" stroked="f">
                      <v:path textboxrect="0,0,0,0"/>
                      <v:imagedata r:id="rId11" o:title=""/>
                    </v:shape>
                  </w:pict>
                </mc:Fallback>
              </mc:AlternateConten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b/>
                <w:bCs/>
                <w:sz w:val="24"/>
                <w:szCs w:val="24"/>
              </w:rPr>
              <w:t xml:space="preserve">Двері телескопічні</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4114800" cy="2009775"/>
                      <wp:effectExtent l="0" t="0" r="0" b="9525"/>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r/>
                            </pic:nvPicPr>
                            <pic:blipFill>
                              <a:blip r:embed="rId12"/>
                              <a:stretch/>
                            </pic:blipFill>
                            <pic:spPr bwMode="auto">
                              <a:xfrm>
                                <a:off x="0" y="0"/>
                                <a:ext cx="4114800" cy="2009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24.0pt;height:158.2pt;mso-wrap-distance-left:0.0pt;mso-wrap-distance-top:0.0pt;mso-wrap-distance-right:0.0pt;mso-wrap-distance-bottom:0.0pt;" stroked="f">
                      <v:path textboxrect="0,0,0,0"/>
                      <v:imagedata r:id="rId12" o:title=""/>
                    </v:shape>
                  </w:pict>
                </mc:Fallback>
              </mc:AlternateConten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bl>
    <w:p>
      <w:pPr>
        <w:pStyle w:val="710"/>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Автоматичні двері на базі приводу телескоп</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комплект входить: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для автоматичних дверей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стулкових фірмових профілів для обрамлення під заповнення 22 мм ( склопакет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Двигун/Мотор-Редуктор.</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керування приводом—це «мізки» всієї системи.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керування повинен мати широкі властивості та можливості: підклю</w:t>
      </w:r>
      <w:r>
        <w:rPr>
          <w:rFonts w:ascii="Times New Roman" w:hAnsi="Times New Roman" w:cs="Times New Roman"/>
          <w:sz w:val="24"/>
          <w:szCs w:val="24"/>
        </w:rPr>
        <w:t xml:space="preserve">чення до системи аварійного відкриття дверей-надзвичайних ситуацій ( через спеціальний порт та «сухий» контакт ), можливість підключення до різноманітних систем СКД, датчиків, фіксуючих елементів, та програмування до 15 різноманітних режимів роботи дверей.</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Цифровий пульт керування режимами роботи дверей з можливістю програмування та налаштування режимів, також показувати на дисплеї можливі, поточні помилки, також можна дивитися «історію» помилок.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Акумулятор на 700 А—всі автоматичні двері в обов’язковому порядку комплектуються акумуляторами.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Трансформатор 230В-24В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приводу всього 70 мм.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Комплектується радарами з сенсорами безпеки/інфрачервтними датчиками безпеки.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Автоматичні двері для людей з обмеженими можливостями повинні комплектуватися спеціальними кнопками з нержавійки, а також додатковими датчиками безпеки від защімлення та удару.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Склопакет 22 мм сатин. Скло гартоване, травмобезпечне.</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Фарбування кришки приводу та обрамлення згідно каталогу RAL</w:t>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1 332 468</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w:t>
      </w:r>
      <w:r>
        <w:rPr>
          <w:rFonts w:ascii="Times New Roman" w:hAnsi="Times New Roman" w:eastAsia="Times New Roman" w:cs="Times New Roman"/>
          <w:sz w:val="24"/>
          <w:szCs w:val="24"/>
          <w:lang w:eastAsia="ru-RU"/>
        </w:rPr>
        <w:t xml:space="preserve">мільйон триста </w:t>
      </w:r>
      <w:r>
        <w:rPr>
          <w:rFonts w:ascii="Times New Roman" w:hAnsi="Times New Roman" w:eastAsia="Times New Roman" w:cs="Times New Roman"/>
          <w:sz w:val="24"/>
          <w:szCs w:val="24"/>
          <w:lang w:eastAsia="ru-RU"/>
        </w:rPr>
        <w:t xml:space="preserve">тридцять дві тисячі чотириста шістдесят вісім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99"/>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99"/>
    <w:qFormat/>
    <w:rPr>
      <w:rFonts w:ascii="Calibri" w:hAnsi="Calibri" w:eastAsia="Calibri" w:cs="Calibri"/>
      <w:lang w:eastAsia="zh-CN"/>
    </w:rPr>
  </w:style>
  <w:style w:type="table" w:styleId="712">
    <w:name w:val="Table Grid"/>
    <w:basedOn w:val="7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148</cp:revision>
  <dcterms:created xsi:type="dcterms:W3CDTF">2022-11-01T12:47:00Z</dcterms:created>
  <dcterms:modified xsi:type="dcterms:W3CDTF">2023-11-12T20:38:13Z</dcterms:modified>
</cp:coreProperties>
</file>