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технічного обслуговування</w:t>
      </w:r>
      <w:r>
        <w:rPr>
          <w:b w:val="0"/>
          <w:bCs w:val="0"/>
          <w:sz w:val="24"/>
          <w:szCs w:val="24"/>
        </w:rPr>
        <w:t xml:space="preserve"> транспортного засобу  </w:t>
      </w:r>
      <w:r>
        <w:rPr>
          <w:b w:val="0"/>
          <w:bCs w:val="0"/>
          <w:sz w:val="24"/>
          <w:szCs w:val="24"/>
        </w:rPr>
        <w:t xml:space="preserve">за кодом CPV за ЄЗС ДК 021:2015: 50110000-9 «Послуги з ремонту і технічного обслуговування мототранспортних засобів і супутнього обладнання»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3049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технічного 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транспортного засобу  </w:t>
      </w:r>
      <w:r>
        <w:rPr>
          <w:rFonts w:ascii="Times New Roman" w:hAnsi="Times New Roman" w:cs="Times New Roman"/>
          <w:sz w:val="24"/>
          <w:szCs w:val="24"/>
        </w:rPr>
        <w:t xml:space="preserve">за кодом CPV за ЄЗС ДК 021:2015: 50110000-9 «Послуги з ремонту і технічного обслуговування мототранспортних засобів і супутнього обладнання»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ТЕХНІЧНІ ВИМОГИ</w:t>
      </w:r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pStyle w:val="732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Загальні відомості</w:t>
      </w:r>
      <w:r/>
    </w:p>
    <w:p>
      <w:pPr>
        <w:pStyle w:val="732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1.1  Послуги, пов’язані з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ремонтом технічним обслуговування</w:t>
      </w:r>
      <w:r>
        <w:rPr>
          <w:rFonts w:ascii="Times New Roman" w:hAnsi="Times New Roman"/>
          <w:sz w:val="24"/>
          <w:szCs w:val="24"/>
        </w:rPr>
        <w:t xml:space="preserve"> транспортних засобів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кодом ДК 021:2015 -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50110000-9 “Послуги з ремонту і технічного обслуговування мототранспортних засобів і супутнього обладнання”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Замовник послуг: ДУ ЦІТ МВС України.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Джерело та порядок фінансування послуг.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Фінансування послуг здійснюється за рахунок коштів державного бюджету України.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Порядок фінансування послуг визначається умовами Договору.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Період надання послуг: з дати підписання договору до 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03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року.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ПРОВЕДЕННЯ ПЛАНОВОГО ТЕХНІЧНОГО ОБСЛУГОВУВАННЯ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Мета надання послуг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Метою надання послуг є: </w:t>
      </w:r>
      <w:r>
        <w:rPr>
          <w:rFonts w:ascii="Times New Roman" w:hAnsi="Times New Roman" w:cs="Times New Roman"/>
          <w:sz w:val="24"/>
          <w:szCs w:val="24"/>
        </w:rPr>
        <w:t xml:space="preserve">планове </w:t>
      </w:r>
      <w:r>
        <w:rPr>
          <w:rFonts w:ascii="Times New Roman" w:hAnsi="Times New Roman" w:cs="Times New Roman"/>
          <w:sz w:val="24"/>
          <w:szCs w:val="24"/>
        </w:rPr>
        <w:t xml:space="preserve">технічне обслуговування транспортн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засоб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Замовника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згідно таблиці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цього додатка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/>
    </w:p>
    <w:p>
      <w:pPr>
        <w:pStyle w:val="724"/>
        <w:ind w:left="106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Таблиця № 1</w:t>
      </w:r>
      <w:r/>
    </w:p>
    <w:p>
      <w:pPr>
        <w:pStyle w:val="724"/>
        <w:ind w:left="106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транспортних засобів Замовника на ремонт та технічне обслуговування </w:t>
      </w:r>
      <w:r/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5"/>
        <w:gridCol w:w="3285"/>
        <w:gridCol w:w="1037"/>
        <w:gridCol w:w="3239"/>
        <w:gridCol w:w="1536"/>
      </w:tblGrid>
      <w:tr>
        <w:trPr/>
        <w:tc>
          <w:tcPr>
            <w:shd w:val="clear" w:color="auto" w:fill="auto"/>
            <w:tcW w:w="5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/>
          </w:p>
        </w:tc>
        <w:tc>
          <w:tcPr>
            <w:shd w:val="clear" w:color="auto" w:fill="auto"/>
            <w:tcW w:w="34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Марка/модель</w:t>
            </w:r>
            <w:r/>
          </w:p>
        </w:tc>
        <w:tc>
          <w:tcPr>
            <w:shd w:val="clear" w:color="auto" w:fill="auto"/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Рік випуску</w:t>
            </w:r>
            <w:r/>
          </w:p>
        </w:tc>
        <w:tc>
          <w:tcPr>
            <w:shd w:val="clear" w:color="auto" w:fill="auto"/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кузова/шасі/VIN</w:t>
            </w:r>
            <w:r/>
          </w:p>
        </w:tc>
        <w:tc>
          <w:tcPr>
            <w:shd w:val="clear" w:color="auto" w:fill="auto"/>
            <w:tcW w:w="15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Об’єм двигуна</w:t>
            </w:r>
            <w:r/>
          </w:p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(куб. см)</w:t>
            </w:r>
            <w:r/>
          </w:p>
        </w:tc>
      </w:tr>
      <w:tr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W w:w="340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lang w:val="en-US"/>
              </w:rPr>
              <w:t xml:space="preserve">MG5</w:t>
            </w:r>
            <w:r/>
          </w:p>
        </w:tc>
        <w:tc>
          <w:tcPr>
            <w:shd w:val="clear" w:color="auto" w:fill="auto"/>
            <w:tcW w:w="1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  <w:lang w:val="en-US"/>
              </w:rPr>
              <w:t xml:space="preserve">21</w:t>
            </w:r>
            <w:r/>
          </w:p>
        </w:tc>
        <w:tc>
          <w:tcPr>
            <w:shd w:val="clear" w:color="auto" w:fill="auto"/>
            <w:tcW w:w="3299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LSJA36E31NZ087751</w:t>
            </w:r>
            <w:r/>
          </w:p>
        </w:tc>
        <w:tc>
          <w:tcPr>
            <w:shd w:val="clear" w:color="auto" w:fill="auto"/>
            <w:tcW w:w="1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Планове технічне обслуговування повинно відбуватися згідно рекомендацій заводу виробника та сервісної книжки гарантійного обслуговування автомобіля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  <w:t xml:space="preserve">MG-5 (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надати гарантійний лист)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Учаснику необхідно у складі тендерної пропозиції надати гарантійний лист, що дане технічне обслуговування не призведе до втрати г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арантії на автомобіль Замовника, у разі втрати гарантії на автомобіль Замовника зазначеного в Додатку 5 до тендерної документації Учасник гарантує відшкодування Замовнику коштів на планові технічні обслуговування до кінця гарантійного строку на автомобіль.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3. Інформація про необхідні технічні, якісні та кількісні характеристики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предмета закупівлі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Якість продукції та робіт повинна відповідати всім вимогам законів та нормативних актів, міжнародних стандартів якості і стандартам якості,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вимогам Законів України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«Про дорожній рух», «Про транспорт», «Про автомобільний транспорт», «Про захист прав споживачів»,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 надання послуг з технічного обслуговування і ремонту колісних транспортних засобів, затверджених наказом Міністерства інф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раструктури України від 28.11.2014 № 615, порядку їх проведення, визначеному Положенням про технічне обслуговування і ремонт дорожніх транспортних засобів автомобільного транспорту, затвердженим наказом Міністерства транспорту України від 30.03.1998 № 102.</w:t>
      </w:r>
      <w:r/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3.2 Обсяги та найменування послуг повинні бути зазначені у розрахунку вартості тендерної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пропозиції за формою, визначеною у додатку № 1 до тендерної документації.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3.3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станції технічного обслуговування (далі СТО)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учасника з ремонту та технічного обслуговування колісних транспортних засобів повинні бути сертифіковані ISO 9001:2015 </w:t>
      </w:r>
      <w:r>
        <w:rPr>
          <w:rFonts w:ascii="Times New Roman" w:hAnsi="Times New Roman" w:cs="Times New Roman"/>
          <w:b/>
          <w:bCs/>
          <w:i/>
          <w:color w:val="000000" w:themeColor="text1"/>
          <w:spacing w:val="-2"/>
          <w:sz w:val="24"/>
          <w:szCs w:val="24"/>
        </w:rPr>
        <w:t xml:space="preserve">(надати копію сертифіката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відповідності).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/>
    </w:p>
    <w:p>
      <w:pPr>
        <w:ind w:right="14" w:firstLine="54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 Для скорочення експлуатаційних витрат Замовника, дотримання принципу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максимальної економії та ефективності згідно з вимогами чинного законодавства (стаття 5 Закону України «Про публічні закупівлі») СТО повинна розміщуватися в м. Києві або </w:t>
      </w:r>
      <w:r>
        <w:rPr>
          <w:rFonts w:ascii="Times New Roman" w:hAnsi="Times New Roman" w:cs="Times New Roman"/>
          <w:sz w:val="24"/>
          <w:szCs w:val="24"/>
        </w:rPr>
        <w:t xml:space="preserve">в Київській області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відстані надання послуг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більше 10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 найкоротшим маршрутом по дорогам загального користування) від місцезнаходження автомобілів Замовника (м. Київ, вул. </w:t>
      </w:r>
      <w:r>
        <w:rPr>
          <w:rFonts w:ascii="Times New Roman" w:hAnsi="Times New Roman" w:cs="Times New Roman"/>
          <w:sz w:val="24"/>
          <w:szCs w:val="24"/>
        </w:rPr>
        <w:t xml:space="preserve">Володимира Сікевича,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28) та мати зручні під’їзди з </w:t>
      </w:r>
      <w:r>
        <w:rPr>
          <w:rFonts w:ascii="Times New Roman" w:hAnsi="Times New Roman" w:cs="Times New Roman"/>
          <w:sz w:val="24"/>
          <w:szCs w:val="24"/>
        </w:rPr>
        <w:t xml:space="preserve">вулиці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надати гарантійний лист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 повинен надати документи, що підтверджує місцезнаходження </w:t>
      </w:r>
      <w:r>
        <w:rPr>
          <w:rFonts w:ascii="Times New Roman" w:hAnsi="Times New Roman" w:cs="Times New Roman"/>
          <w:sz w:val="24"/>
          <w:szCs w:val="24"/>
        </w:rPr>
        <w:t xml:space="preserve">СТО </w:t>
      </w:r>
      <w:r>
        <w:rPr>
          <w:rFonts w:ascii="Times New Roman" w:hAnsi="Times New Roman" w:cs="Times New Roman"/>
          <w:i/>
          <w:sz w:val="24"/>
          <w:szCs w:val="24"/>
        </w:rPr>
        <w:t xml:space="preserve">(копію документу на право власності/копію договору оренди/копію договору суборенди зі строком не менше як до 31 грудня 2023 року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 При проведенні ремонту і технічного обслуговування автомобілів учасник повинен використовувати запчастини з власних складів, вартість яких повинна бути врахована при формуванні ціни пропозиції.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 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При наданні послуг відповідно до укладеного договору виконавцем використовуються запасні частини (вузли, агрегати, матеріали тощо), які не були у вживанні (нові), оригінальні (або їх еквіваленти) та сертифіковані відповідно до вимог законодавства України.</w:t>
      </w:r>
      <w:r/>
    </w:p>
    <w:p>
      <w:pPr>
        <w:pStyle w:val="761"/>
        <w:ind w:left="0" w:firstLine="54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3.7 Замовнику має бути надана можливість здійснення контролю шляхом присутності свого представника при проведенні ремонту автомобілів та встановлення запасних частин у відповідності до вимог Замовника.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 Учасника повинна мати можливість проведення гарантійного та післягарантійного обслуговування і ремонту транспортних засобів Замовника (надати копію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сертифікату/свідоцтва акредитації СТО, виданого Всеукраїнською Асоціацією автомобільних імпортерів та дилерів (ВААІД).</w:t>
      </w:r>
      <w:r/>
    </w:p>
    <w:p>
      <w:pPr>
        <w:pStyle w:val="724"/>
        <w:ind w:left="0" w:firstLine="540"/>
        <w:jc w:val="both"/>
        <w:spacing w:after="0" w:line="240" w:lineRule="auto"/>
        <w:widowControl w:val="off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Учасник повинен надати довідку про застосування Учасником заходів із захисту довкілля. </w:t>
      </w:r>
      <w:r/>
    </w:p>
    <w:p>
      <w:pPr>
        <w:ind w:firstLine="540"/>
        <w:jc w:val="both"/>
        <w:spacing w:after="0" w:line="240" w:lineRule="auto"/>
        <w:rPr>
          <w:rStyle w:val="763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63"/>
          <w:rFonts w:ascii="Times New Roman" w:hAnsi="Times New Roman" w:cs="Times New Roman"/>
          <w:sz w:val="24"/>
          <w:szCs w:val="24"/>
        </w:rPr>
        <w:t xml:space="preserve">Учасник повинен мати статус офіційного дилера автомобілів </w:t>
      </w:r>
      <w:r>
        <w:rPr>
          <w:rFonts w:ascii="Times New Roman" w:hAnsi="Times New Roman" w:cs="Times New Roman"/>
          <w:bCs/>
          <w:color w:val="000000"/>
          <w:spacing w:val="-6"/>
          <w:lang w:val="en-US"/>
        </w:rPr>
        <w:t xml:space="preserve">MG</w:t>
      </w:r>
      <w:r>
        <w:rPr>
          <w:rStyle w:val="763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763"/>
          <w:rFonts w:ascii="Times New Roman" w:hAnsi="Times New Roman" w:cs="Times New Roman"/>
          <w:bCs/>
          <w:sz w:val="24"/>
          <w:szCs w:val="24"/>
        </w:rPr>
        <w:t xml:space="preserve">(надати документальне підтвердження).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Інші вимоги: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Учасник повинен гарантувати надання послуг у повному обсязі відповідно до умов Договору про закупівлю;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Гарантійний строк розпочинається з моменту підписання Сторонами Акту приймання-передачі наданих послуг і встановлюється у відповідності з вимогами заводу – виробника, але не меншим за встановлений відповідними нормативними документами України;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 У разі виявлення недоліків наданих послуг протягом встановлених гарантійних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термінів, учасник повинен усунути їх власними силами та за власні кошти протягом 3 робочих днів з моменту звернення Замовника за умови, що такі недоліки виникли з причини неякісного виконання робіт, або застосування неякісних матеріалів (запасних частин).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Вимоги до учасника: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Учасник повинен підтвердити: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Наявність обладнання та професійного інструменту, у т. ч: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комп’ютерний стенд для аналізу та діагностики двигуна;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комп’ютерний стенд для регулювання розвалу і сходження коліс;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проведення шиномонтажних робіт; 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комп’ютерний стенд для балансування коліс; 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перевірки паливних систем;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діагностики та очищення інжекторів; 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діагностики і ремонту гальмівних систем; 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ремонту та заправки кондиціонерів;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спеціально обладнане приміщення для миття автомобілів;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кузовного ремонту та фарбування автомобілів; 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професійний та спеціалізований інструмент для ремонту та обслуговування транспортних засобів Замовника;</w:t>
      </w:r>
      <w:r/>
    </w:p>
    <w:p>
      <w:pPr>
        <w:numPr>
          <w:ilvl w:val="0"/>
          <w:numId w:val="37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наявність спеціалізованого ліцензійного програмного забезпечення для реалізації і правильного використання запчастин, інтервалів та трудомісткості чергового обслуговування автомобілів, технології їх ремонту та діагностики;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Гарантії відповідального зберігання ТЗ у непошкодженому стані на території СТО протягом усього часу надання послуг;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Безкоштовне усунення недоліків наданих послуг у разі виявлення їх під час прийняття ТЗ Замовником.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ТЕХНІЧН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ОБСЛУГОВУВАННЯ ТРАНСПОРТН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ЗАСОБ</w:t>
      </w:r>
      <w:r>
        <w:rPr>
          <w:rFonts w:ascii="Times New Roman" w:hAnsi="Times New Roman" w:cs="Times New Roman"/>
          <w:b/>
          <w:sz w:val="24"/>
          <w:szCs w:val="24"/>
        </w:rPr>
        <w:t xml:space="preserve">У</w:t>
      </w:r>
      <w:r/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514"/>
        <w:gridCol w:w="6706"/>
        <w:gridCol w:w="2409"/>
      </w:tblGrid>
      <w:tr>
        <w:trPr>
          <w:trHeight w:val="6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</w:tr>
      <w:tr>
        <w:trPr>
          <w:trHeight w:val="272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9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MG 5NEW STD 1.5 114PS MT5 4D</w:t>
            </w:r>
            <w:r/>
          </w:p>
        </w:tc>
      </w:tr>
      <w:tr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Діагностика ходової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7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Заміна масляного фільтру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1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Заміна фільтру салону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Заміна протипилового фільтру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Заміна паливного фільтру з кронштейном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Мийка технічна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Прибирання салону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Зняття та установка картера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ЗАПАСН</w:t>
      </w:r>
      <w:r>
        <w:rPr>
          <w:rFonts w:ascii="Times New Roman" w:hAnsi="Times New Roman" w:cs="Times New Roman"/>
          <w:b/>
          <w:sz w:val="24"/>
          <w:szCs w:val="24"/>
        </w:rPr>
        <w:t xml:space="preserve">І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ЧАСТИН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ТА ВИТРАТН</w:t>
      </w:r>
      <w:r>
        <w:rPr>
          <w:rFonts w:ascii="Times New Roman" w:hAnsi="Times New Roman" w:cs="Times New Roman"/>
          <w:b/>
          <w:sz w:val="24"/>
          <w:szCs w:val="24"/>
        </w:rPr>
        <w:t xml:space="preserve">І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МАТЕРІАЛ</w:t>
      </w:r>
      <w:r>
        <w:rPr>
          <w:rFonts w:ascii="Times New Roman" w:hAnsi="Times New Roman" w:cs="Times New Roman"/>
          <w:b/>
          <w:sz w:val="24"/>
          <w:szCs w:val="24"/>
        </w:rPr>
        <w:t xml:space="preserve">И</w:t>
      </w:r>
      <w:r/>
    </w:p>
    <w:tbl>
      <w:tblPr>
        <w:tblW w:w="9635" w:type="dxa"/>
        <w:tblInd w:w="118" w:type="dxa"/>
        <w:tblLook w:val="04A0" w:firstRow="1" w:lastRow="0" w:firstColumn="1" w:lastColumn="0" w:noHBand="0" w:noVBand="1"/>
      </w:tblPr>
      <w:tblGrid>
        <w:gridCol w:w="586"/>
        <w:gridCol w:w="5954"/>
        <w:gridCol w:w="1653"/>
        <w:gridCol w:w="1442"/>
      </w:tblGrid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</w:tr>
      <w:tr>
        <w:trPr>
          <w:trHeight w:val="283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MG 5NEW STD 1.5 114PS MT5 4D</w:t>
            </w:r>
            <w:r/>
          </w:p>
        </w:tc>
      </w:tr>
      <w:tr>
        <w:trPr>
          <w:trHeight w:val="1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Олива моторна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qurtz INEO X.VDR.0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 TOT C1 3B 5L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2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Фільтр кондиціонера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MG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Фільтр повітряний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MG5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Фільтр палива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MG5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Очисник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Loctile 7023 (400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0.3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Активна піна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en-US"/>
              </w:rPr>
              <w:t xml:space="preserve">Magic Gold 20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0,01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шт</w:t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рік» за КПКВК 1001050 «Реалізація державної політики у сфері внутрішніх справ, забезпечення виконання завдань 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функцій органів, установ та закладів Міністерства внутрішніх справ України» відповідно до бюджетного запиту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8 970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 тисяч дев’ятсот 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документів наданих Ініціатором закупівлі.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 CYR">
    <w:panose1 w:val="020206030504050203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7"/>
  </w:num>
  <w:num w:numId="3">
    <w:abstractNumId w:val="7"/>
  </w:num>
  <w:num w:numId="4">
    <w:abstractNumId w:val="25"/>
  </w:num>
  <w:num w:numId="5">
    <w:abstractNumId w:val="6"/>
  </w:num>
  <w:num w:numId="6">
    <w:abstractNumId w:val="31"/>
  </w:num>
  <w:num w:numId="7">
    <w:abstractNumId w:val="10"/>
  </w:num>
  <w:num w:numId="8">
    <w:abstractNumId w:val="33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2"/>
  </w:num>
  <w:num w:numId="17">
    <w:abstractNumId w:val="0"/>
  </w:num>
  <w:num w:numId="18">
    <w:abstractNumId w:val="35"/>
  </w:num>
  <w:num w:numId="19">
    <w:abstractNumId w:val="2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7"/>
  </w:num>
  <w:num w:numId="25">
    <w:abstractNumId w:val="20"/>
  </w:num>
  <w:num w:numId="26">
    <w:abstractNumId w:val="23"/>
  </w:num>
  <w:num w:numId="27">
    <w:abstractNumId w:val="28"/>
  </w:num>
  <w:num w:numId="28">
    <w:abstractNumId w:val="21"/>
  </w:num>
  <w:num w:numId="29">
    <w:abstractNumId w:val="29"/>
  </w:num>
  <w:num w:numId="30">
    <w:abstractNumId w:val="16"/>
  </w:num>
  <w:num w:numId="31">
    <w:abstractNumId w:val="2"/>
  </w:num>
  <w:num w:numId="32">
    <w:abstractNumId w:val="19"/>
  </w:num>
  <w:num w:numId="33">
    <w:abstractNumId w:val="15"/>
  </w:num>
  <w:num w:numId="34">
    <w:abstractNumId w:val="13"/>
  </w:num>
  <w:num w:numId="35">
    <w:abstractNumId w:val="34"/>
  </w:num>
  <w:num w:numId="36">
    <w:abstractNumId w:val="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7"/>
    <w:next w:val="71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1"/>
    <w:link w:val="71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1"/>
    <w:link w:val="71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1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7"/>
    <w:next w:val="7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7"/>
    <w:next w:val="71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7"/>
    <w:next w:val="71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7"/>
    <w:next w:val="71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7"/>
    <w:next w:val="71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7"/>
    <w:next w:val="71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1"/>
    <w:link w:val="33"/>
    <w:uiPriority w:val="10"/>
    <w:rPr>
      <w:sz w:val="48"/>
      <w:szCs w:val="48"/>
    </w:rPr>
  </w:style>
  <w:style w:type="paragraph" w:styleId="35">
    <w:name w:val="Subtitle"/>
    <w:basedOn w:val="717"/>
    <w:next w:val="71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1"/>
    <w:link w:val="35"/>
    <w:uiPriority w:val="11"/>
    <w:rPr>
      <w:sz w:val="24"/>
      <w:szCs w:val="24"/>
    </w:rPr>
  </w:style>
  <w:style w:type="paragraph" w:styleId="37">
    <w:name w:val="Quote"/>
    <w:basedOn w:val="717"/>
    <w:next w:val="71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7"/>
    <w:next w:val="71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1"/>
    <w:link w:val="41"/>
    <w:uiPriority w:val="99"/>
  </w:style>
  <w:style w:type="character" w:styleId="44">
    <w:name w:val="Footer Char"/>
    <w:basedOn w:val="721"/>
    <w:link w:val="730"/>
    <w:uiPriority w:val="99"/>
  </w:style>
  <w:style w:type="paragraph" w:styleId="45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0"/>
    <w:uiPriority w:val="99"/>
  </w:style>
  <w:style w:type="table" w:styleId="48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1"/>
    <w:uiPriority w:val="99"/>
    <w:unhideWhenUsed/>
    <w:rPr>
      <w:vertAlign w:val="superscript"/>
    </w:rPr>
  </w:style>
  <w:style w:type="paragraph" w:styleId="177">
    <w:name w:val="endnote text"/>
    <w:basedOn w:val="7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1"/>
    <w:uiPriority w:val="99"/>
    <w:semiHidden/>
    <w:unhideWhenUsed/>
    <w:rPr>
      <w:vertAlign w:val="superscript"/>
    </w:rPr>
  </w:style>
  <w:style w:type="paragraph" w:styleId="180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rPr>
      <w:lang w:val="uk-UA"/>
    </w:rPr>
  </w:style>
  <w:style w:type="paragraph" w:styleId="718">
    <w:name w:val="Heading 2"/>
    <w:basedOn w:val="717"/>
    <w:link w:val="73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9">
    <w:name w:val="Heading 3"/>
    <w:basedOn w:val="717"/>
    <w:next w:val="717"/>
    <w:link w:val="75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0">
    <w:name w:val="Heading 4"/>
    <w:basedOn w:val="717"/>
    <w:next w:val="717"/>
    <w:link w:val="75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>
    <w:name w:val="List Paragraph"/>
    <w:basedOn w:val="717"/>
    <w:link w:val="725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5" w:customStyle="1">
    <w:name w:val="Абзац списку Знак"/>
    <w:link w:val="724"/>
    <w:qFormat/>
    <w:rPr>
      <w:rFonts w:ascii="Calibri" w:hAnsi="Calibri" w:eastAsia="Calibri" w:cs="Calibri"/>
      <w:lang w:eastAsia="zh-CN"/>
    </w:rPr>
  </w:style>
  <w:style w:type="table" w:styleId="726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Сетка таблицы2"/>
    <w:basedOn w:val="722"/>
    <w:next w:val="72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>
    <w:name w:val="Normal (Web)"/>
    <w:basedOn w:val="717"/>
    <w:link w:val="73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9" w:customStyle="1">
    <w:name w:val="Сетка таблицы1"/>
    <w:basedOn w:val="722"/>
    <w:next w:val="72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0">
    <w:name w:val="Footer"/>
    <w:basedOn w:val="717"/>
    <w:link w:val="73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1" w:customStyle="1">
    <w:name w:val="Нижній колонтитул Знак"/>
    <w:basedOn w:val="721"/>
    <w:link w:val="730"/>
    <w:uiPriority w:val="99"/>
    <w:rPr>
      <w:rFonts w:ascii="Calibri" w:hAnsi="Calibri" w:eastAsia="Calibri" w:cs="Calibri"/>
      <w:lang w:eastAsia="zh-CN"/>
    </w:rPr>
  </w:style>
  <w:style w:type="paragraph" w:styleId="73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3">
    <w:name w:val="Hyperlink"/>
    <w:basedOn w:val="721"/>
    <w:uiPriority w:val="99"/>
    <w:unhideWhenUsed/>
    <w:rPr>
      <w:color w:val="0563c1" w:themeColor="hyperlink"/>
      <w:u w:val="single"/>
    </w:rPr>
  </w:style>
  <w:style w:type="character" w:styleId="734" w:customStyle="1">
    <w:name w:val="xfm_93972720"/>
    <w:basedOn w:val="721"/>
  </w:style>
  <w:style w:type="character" w:styleId="735" w:customStyle="1">
    <w:name w:val="Звичайний (веб) Знак"/>
    <w:link w:val="728"/>
    <w:qFormat/>
    <w:rPr>
      <w:rFonts w:ascii="Times New Roman" w:hAnsi="Times New Roman" w:cs="Times New Roman"/>
      <w:sz w:val="24"/>
      <w:szCs w:val="24"/>
      <w:lang w:val="uk-UA"/>
    </w:rPr>
  </w:style>
  <w:style w:type="paragraph" w:styleId="736">
    <w:name w:val="Body Text 2"/>
    <w:basedOn w:val="717"/>
    <w:link w:val="73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7" w:customStyle="1">
    <w:name w:val="Основний текст 2 Знак"/>
    <w:basedOn w:val="721"/>
    <w:link w:val="73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9" w:customStyle="1">
    <w:name w:val="Заголовок 2 Знак"/>
    <w:basedOn w:val="721"/>
    <w:link w:val="71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0">
    <w:name w:val="No Spacing"/>
    <w:link w:val="74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1" w:customStyle="1">
    <w:name w:val="Без інтервалів Знак"/>
    <w:basedOn w:val="721"/>
    <w:link w:val="740"/>
    <w:uiPriority w:val="1"/>
    <w:rPr>
      <w:rFonts w:ascii="Calibri" w:hAnsi="Calibri" w:eastAsia="Calibri" w:cs="Times New Roman"/>
      <w:lang w:val="uk-UA"/>
    </w:rPr>
  </w:style>
  <w:style w:type="character" w:styleId="742" w:customStyle="1">
    <w:name w:val="Другое_"/>
    <w:basedOn w:val="721"/>
    <w:link w:val="743"/>
    <w:rPr>
      <w:rFonts w:ascii="Calibri" w:hAnsi="Calibri" w:eastAsia="Calibri" w:cs="Calibri"/>
      <w:sz w:val="20"/>
      <w:szCs w:val="20"/>
    </w:rPr>
  </w:style>
  <w:style w:type="paragraph" w:styleId="743" w:customStyle="1">
    <w:name w:val="Другое"/>
    <w:basedOn w:val="717"/>
    <w:link w:val="74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5" w:customStyle="1">
    <w:name w:val="Основной текст (2)_"/>
    <w:basedOn w:val="721"/>
    <w:link w:val="746"/>
    <w:rPr>
      <w:rFonts w:eastAsia="Times New Roman" w:cs="Times New Roman"/>
      <w:shd w:val="clear" w:color="auto" w:fill="ffffff"/>
    </w:rPr>
  </w:style>
  <w:style w:type="paragraph" w:styleId="746" w:customStyle="1">
    <w:name w:val="Основной текст (2)"/>
    <w:basedOn w:val="717"/>
    <w:link w:val="74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7" w:customStyle="1">
    <w:name w:val="Текст у виносці Знак"/>
    <w:basedOn w:val="721"/>
    <w:link w:val="74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8">
    <w:name w:val="Balloon Text"/>
    <w:basedOn w:val="717"/>
    <w:link w:val="74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9" w:customStyle="1">
    <w:name w:val="Текст у виносці Знак1"/>
    <w:basedOn w:val="72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0" w:customStyle="1">
    <w:name w:val="T23"/>
    <w:rPr>
      <w:rFonts w:hint="default" w:ascii="Times New Roman" w:hAnsi="Times New Roman" w:eastAsia="Times New Roman1" w:cs="Times New Roman"/>
    </w:rPr>
  </w:style>
  <w:style w:type="paragraph" w:styleId="751" w:customStyle="1">
    <w:name w:val="Абзац списку1"/>
    <w:basedOn w:val="71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2" w:customStyle="1">
    <w:name w:val="markedcontent"/>
    <w:basedOn w:val="721"/>
  </w:style>
  <w:style w:type="paragraph" w:styleId="753">
    <w:name w:val="annotation text"/>
    <w:basedOn w:val="717"/>
    <w:link w:val="75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4" w:customStyle="1">
    <w:name w:val="Текст примітки Знак"/>
    <w:basedOn w:val="721"/>
    <w:link w:val="75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5" w:customStyle="1">
    <w:name w:val="docdata"/>
    <w:basedOn w:val="721"/>
  </w:style>
  <w:style w:type="character" w:styleId="756" w:customStyle="1">
    <w:name w:val="Заголовок 3 Знак"/>
    <w:basedOn w:val="721"/>
    <w:link w:val="719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7" w:customStyle="1">
    <w:name w:val="Заголовок 4 Знак"/>
    <w:basedOn w:val="721"/>
    <w:link w:val="720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8" w:customStyle="1">
    <w:name w:val="name-spec"/>
    <w:basedOn w:val="7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9" w:customStyle="1">
    <w:name w:val="cont-spec"/>
    <w:basedOn w:val="7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0">
    <w:name w:val="Strong"/>
    <w:basedOn w:val="721"/>
    <w:uiPriority w:val="22"/>
    <w:qFormat/>
    <w:rPr>
      <w:b/>
      <w:bCs/>
    </w:rPr>
  </w:style>
  <w:style w:type="paragraph" w:styleId="761" w:customStyle="1">
    <w:name w:val="Абзац списка1"/>
    <w:basedOn w:val="717"/>
    <w:link w:val="762"/>
    <w:pPr>
      <w:contextualSpacing/>
      <w:ind w:left="720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val="ru-RU" w:eastAsia="ru-RU"/>
    </w:rPr>
  </w:style>
  <w:style w:type="character" w:styleId="762" w:customStyle="1">
    <w:name w:val="List Paragraph Char"/>
    <w:link w:val="761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763" w:customStyle="1">
    <w:name w:val="xfm_67105698"/>
    <w:basedOn w:val="72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152</cp:revision>
  <dcterms:created xsi:type="dcterms:W3CDTF">2022-11-01T12:47:00Z</dcterms:created>
  <dcterms:modified xsi:type="dcterms:W3CDTF">2024-02-07T11:38:38Z</dcterms:modified>
</cp:coreProperties>
</file>