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1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w:t>
      </w:r>
      <w:r>
        <w:rPr>
          <w:rFonts w:eastAsia="Calibri"/>
          <w:b w:val="0"/>
          <w:bCs w:val="0"/>
          <w:sz w:val="24"/>
          <w:szCs w:val="24"/>
        </w:rPr>
        <w:t xml:space="preserve">послуги з цілодобової воєнізованої охорони (1 пост) (охорона об'єкту ДУ ЦІТ МВС України, розміщеного за </w:t>
      </w:r>
      <w:r>
        <w:rPr>
          <w:rFonts w:eastAsia="Calibri"/>
          <w:b w:val="0"/>
          <w:bCs w:val="0"/>
          <w:sz w:val="24"/>
          <w:szCs w:val="24"/>
        </w:rPr>
        <w:t xml:space="preserve">адресою</w:t>
      </w:r>
      <w:r>
        <w:rPr>
          <w:rFonts w:eastAsia="Calibri"/>
          <w:b w:val="0"/>
          <w:bCs w:val="0"/>
          <w:sz w:val="24"/>
          <w:szCs w:val="24"/>
        </w:rPr>
        <w:t xml:space="preserve">: вул. Титова, 18, м. Дніпро, Дніпропетровська обл.)</w:t>
      </w:r>
      <w:r>
        <w:rPr>
          <w:b w:val="0"/>
          <w:bCs w:val="0"/>
          <w:sz w:val="24"/>
          <w:szCs w:val="24"/>
        </w:rPr>
        <w:t xml:space="preserve"> за кодом CPV за ЄЗС ДК 021:2015: </w:t>
      </w:r>
      <w:r>
        <w:rPr>
          <w:rFonts w:eastAsia="Calibri"/>
          <w:b w:val="0"/>
          <w:bCs w:val="0"/>
          <w:sz w:val="24"/>
          <w:szCs w:val="24"/>
        </w:rPr>
        <w:t xml:space="preserve">79710000-4 Охоронні послуги</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19</w:t>
      </w:r>
      <w:r>
        <w:rPr>
          <w:rFonts w:ascii="Times New Roman" w:hAnsi="Times New Roman" w:cs="Times New Roman"/>
          <w:sz w:val="24"/>
          <w:szCs w:val="24"/>
        </w:rPr>
        <w:t xml:space="preserve">-</w:t>
      </w:r>
      <w:r>
        <w:rPr>
          <w:rFonts w:ascii="Times New Roman" w:hAnsi="Times New Roman" w:cs="Times New Roman"/>
          <w:sz w:val="24"/>
          <w:szCs w:val="24"/>
        </w:rPr>
        <w:t xml:space="preserve">013142</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lang w:eastAsia="uk-UA"/>
        </w:rPr>
        <w:t xml:space="preserve">Закупівля </w:t>
      </w:r>
      <w:r>
        <w:rPr>
          <w:rFonts w:ascii="Times New Roman" w:hAnsi="Times New Roman" w:eastAsia="Calibri" w:cs="Times New Roman"/>
          <w:sz w:val="24"/>
          <w:szCs w:val="24"/>
          <w:lang w:eastAsia="uk-UA"/>
        </w:rPr>
        <w:t xml:space="preserve">послуги з цілодобової воєнізованої охорони (1 пост) (охорона об'єкту ДУ ЦІТ МВС України, розміщеного за </w:t>
      </w:r>
      <w:r>
        <w:rPr>
          <w:rFonts w:ascii="Times New Roman" w:hAnsi="Times New Roman" w:eastAsia="Calibri" w:cs="Times New Roman"/>
          <w:sz w:val="24"/>
          <w:szCs w:val="24"/>
          <w:lang w:eastAsia="uk-UA"/>
        </w:rPr>
        <w:t xml:space="preserve">адресою</w:t>
      </w:r>
      <w:r>
        <w:rPr>
          <w:rFonts w:ascii="Times New Roman" w:hAnsi="Times New Roman" w:eastAsia="Calibri" w:cs="Times New Roman"/>
          <w:sz w:val="24"/>
          <w:szCs w:val="24"/>
          <w:lang w:eastAsia="uk-UA"/>
        </w:rPr>
        <w:t xml:space="preserve">: вул. Титова, 18, м. Дніпро, Дніпропетровська обл.)</w:t>
      </w:r>
      <w:r>
        <w:rPr>
          <w:rFonts w:ascii="Times New Roman" w:hAnsi="Times New Roman" w:cs="Times New Roman"/>
          <w:sz w:val="24"/>
          <w:szCs w:val="24"/>
          <w:lang w:eastAsia="uk-UA"/>
        </w:rPr>
        <w:t xml:space="preserve"> за кодом CPV за ЄЗС ДК 021:2015: </w:t>
      </w:r>
      <w:r>
        <w:rPr>
          <w:rFonts w:ascii="Times New Roman" w:hAnsi="Times New Roman" w:eastAsia="Calibri" w:cs="Times New Roman"/>
          <w:sz w:val="24"/>
          <w:szCs w:val="24"/>
          <w:lang w:eastAsia="uk-UA"/>
        </w:rPr>
        <w:t xml:space="preserve">79710000-4 Охоронні послуги</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bookmarkStart w:id="0" w:name="_Hlk133583335"/>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24"/>
        <w:tblW w:w="9634" w:type="dxa"/>
        <w:tblLook w:val="04A0" w:firstRow="1" w:lastRow="0" w:firstColumn="1" w:lastColumn="0" w:noHBand="0" w:noVBand="1"/>
      </w:tblPr>
      <w:tblGrid>
        <w:gridCol w:w="562"/>
        <w:gridCol w:w="6096"/>
        <w:gridCol w:w="1275"/>
        <w:gridCol w:w="1701"/>
      </w:tblGrid>
      <w:tr>
        <w:trPr/>
        <w:tc>
          <w:tcPr>
            <w:tcBorders>
              <w:top w:val="single" w:color="auto" w:sz="4" w:space="0"/>
              <w:left w:val="single" w:color="auto" w:sz="4" w:space="0"/>
              <w:bottom w:val="single" w:color="auto" w:sz="4" w:space="0"/>
              <w:right w:val="single" w:color="auto" w:sz="4" w:space="0"/>
            </w:tcBorders>
            <w:tcW w:w="562" w:type="dxa"/>
            <w:textDirection w:val="lrTb"/>
            <w:noWrap w:val="false"/>
          </w:tcPr>
          <w:p>
            <w:pPr>
              <w:pStyle w:val="726"/>
              <w:jc w:val="center"/>
              <w:rPr>
                <w:b/>
                <w:bCs/>
                <w:lang w:val="ru-RU"/>
              </w:rPr>
            </w:pPr>
            <w:r>
              <w:rPr>
                <w:b/>
                <w:bCs/>
                <w:lang w:val="ru-RU"/>
              </w:rPr>
              <w:t xml:space="preserve">№ п/п</w:t>
            </w:r>
            <w:r/>
          </w:p>
        </w:tc>
        <w:tc>
          <w:tcPr>
            <w:tcBorders>
              <w:top w:val="single" w:color="auto" w:sz="4" w:space="0"/>
              <w:left w:val="single" w:color="auto" w:sz="4" w:space="0"/>
              <w:bottom w:val="single" w:color="auto" w:sz="4" w:space="0"/>
              <w:right w:val="single" w:color="auto" w:sz="4" w:space="0"/>
            </w:tcBorders>
            <w:tcW w:w="6096" w:type="dxa"/>
            <w:textDirection w:val="lrTb"/>
            <w:noWrap w:val="false"/>
          </w:tcPr>
          <w:p>
            <w:pPr>
              <w:pStyle w:val="726"/>
              <w:jc w:val="center"/>
              <w:rPr>
                <w:b/>
                <w:bCs/>
                <w:lang w:val="ru-RU"/>
              </w:rPr>
            </w:pPr>
            <w:r>
              <w:rPr>
                <w:b/>
                <w:bCs/>
                <w:lang w:val="ru-RU"/>
              </w:rPr>
              <w:t xml:space="preserve">Назва</w:t>
            </w:r>
            <w:r>
              <w:rPr>
                <w:b/>
                <w:bCs/>
                <w:lang w:val="ru-RU"/>
              </w:rPr>
              <w:t xml:space="preserve"> </w:t>
            </w:r>
            <w:r>
              <w:rPr>
                <w:b/>
                <w:bCs/>
                <w:lang w:val="ru-RU"/>
              </w:rPr>
              <w:t xml:space="preserve">системи</w:t>
            </w:r>
            <w:r/>
          </w:p>
        </w:tc>
        <w:tc>
          <w:tcPr>
            <w:tcBorders>
              <w:top w:val="single" w:color="auto" w:sz="4" w:space="0"/>
              <w:left w:val="single" w:color="auto" w:sz="4" w:space="0"/>
              <w:bottom w:val="single" w:color="auto" w:sz="4" w:space="0"/>
              <w:right w:val="single" w:color="auto" w:sz="4" w:space="0"/>
            </w:tcBorders>
            <w:tcW w:w="1275" w:type="dxa"/>
            <w:textDirection w:val="lrTb"/>
            <w:noWrap w:val="false"/>
          </w:tcPr>
          <w:p>
            <w:pPr>
              <w:pStyle w:val="726"/>
              <w:jc w:val="center"/>
              <w:rPr>
                <w:b/>
                <w:bCs/>
                <w:lang w:val="ru-RU"/>
              </w:rPr>
            </w:pPr>
            <w:r>
              <w:rPr>
                <w:b/>
                <w:bCs/>
                <w:lang w:val="ru-RU"/>
              </w:rPr>
              <w:t xml:space="preserve">Одиниця</w:t>
            </w:r>
            <w:r>
              <w:rPr>
                <w:b/>
                <w:bCs/>
                <w:lang w:val="ru-RU"/>
              </w:rPr>
              <w:t xml:space="preserve"> </w:t>
            </w:r>
            <w:r>
              <w:rPr>
                <w:b/>
                <w:bCs/>
                <w:lang w:val="ru-RU"/>
              </w:rPr>
              <w:t xml:space="preserve">виміру</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726"/>
              <w:jc w:val="center"/>
              <w:rPr>
                <w:b/>
                <w:bCs/>
                <w:lang w:val="ru-RU"/>
              </w:rPr>
            </w:pPr>
            <w:r>
              <w:rPr>
                <w:b/>
                <w:bCs/>
                <w:lang w:val="ru-RU"/>
              </w:rPr>
              <w:t xml:space="preserve">Кількість</w:t>
            </w:r>
            <w:r/>
          </w:p>
        </w:tc>
      </w:tr>
      <w:tr>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26"/>
              <w:jc w:val="center"/>
              <w:rPr>
                <w:lang w:val="ru-RU"/>
              </w:rPr>
            </w:pPr>
            <w:r>
              <w:rPr>
                <w:b/>
                <w:bCs/>
                <w:lang w:val="ru-RU"/>
              </w:rPr>
              <w:t xml:space="preserve">1</w:t>
            </w:r>
            <w:r/>
          </w:p>
        </w:tc>
        <w:tc>
          <w:tcPr>
            <w:tcBorders>
              <w:top w:val="single" w:color="auto" w:sz="4" w:space="0"/>
              <w:left w:val="single" w:color="auto" w:sz="4" w:space="0"/>
              <w:bottom w:val="single" w:color="auto" w:sz="4" w:space="0"/>
              <w:right w:val="single" w:color="auto" w:sz="4" w:space="0"/>
            </w:tcBorders>
            <w:tcW w:w="6096" w:type="dxa"/>
            <w:vAlign w:val="center"/>
            <w:textDirection w:val="lrTb"/>
            <w:noWrap w:val="false"/>
          </w:tcPr>
          <w:p>
            <w:pPr>
              <w:pStyle w:val="726"/>
              <w:jc w:val="both"/>
              <w:rPr>
                <w:b/>
                <w:lang w:val="ru-RU"/>
              </w:rPr>
            </w:pPr>
            <w:r>
              <w:rPr>
                <w:b/>
                <w:bCs/>
                <w:color w:val="000000"/>
                <w:lang w:val="ru-RU"/>
              </w:rPr>
              <w:t xml:space="preserve">Послуги</w:t>
            </w:r>
            <w:r>
              <w:rPr>
                <w:b/>
                <w:bCs/>
                <w:color w:val="000000"/>
                <w:lang w:val="ru-RU"/>
              </w:rPr>
              <w:t xml:space="preserve"> з </w:t>
            </w:r>
            <w:r>
              <w:rPr>
                <w:b/>
                <w:bCs/>
                <w:color w:val="000000"/>
                <w:lang w:val="ru-RU"/>
              </w:rPr>
              <w:t xml:space="preserve">цілодобової</w:t>
            </w:r>
            <w:r>
              <w:rPr>
                <w:b/>
                <w:bCs/>
                <w:color w:val="000000"/>
                <w:lang w:val="ru-RU"/>
              </w:rPr>
              <w:t xml:space="preserve"> </w:t>
            </w:r>
            <w:r>
              <w:rPr>
                <w:b/>
                <w:bCs/>
                <w:color w:val="000000"/>
                <w:lang w:val="ru-RU"/>
              </w:rPr>
              <w:t xml:space="preserve">воєнізованої</w:t>
            </w:r>
            <w:r>
              <w:rPr>
                <w:b/>
                <w:bCs/>
                <w:color w:val="000000"/>
                <w:lang w:val="ru-RU"/>
              </w:rPr>
              <w:t xml:space="preserve"> </w:t>
            </w:r>
            <w:r>
              <w:rPr>
                <w:b/>
                <w:bCs/>
                <w:color w:val="000000"/>
                <w:lang w:val="ru-RU"/>
              </w:rPr>
              <w:t xml:space="preserve">охорони</w:t>
            </w:r>
            <w:r>
              <w:rPr>
                <w:b/>
                <w:bCs/>
                <w:color w:val="000000"/>
                <w:lang w:val="ru-RU"/>
              </w:rPr>
              <w:t xml:space="preserve"> (1 пост) </w:t>
            </w:r>
            <w:r>
              <w:rPr>
                <w:rFonts w:eastAsia="Calibri"/>
                <w:b/>
                <w:bCs/>
                <w:lang w:val="ru-RU"/>
              </w:rPr>
              <w:t xml:space="preserve">(</w:t>
            </w:r>
            <w:r>
              <w:rPr>
                <w:rFonts w:eastAsia="Calibri"/>
                <w:b/>
                <w:bCs/>
                <w:lang w:val="ru-RU"/>
              </w:rPr>
              <w:t xml:space="preserve">охорона</w:t>
            </w:r>
            <w:r>
              <w:rPr>
                <w:rFonts w:eastAsia="Calibri"/>
                <w:b/>
                <w:bCs/>
                <w:lang w:val="ru-RU"/>
              </w:rPr>
              <w:t xml:space="preserve"> </w:t>
            </w:r>
            <w:r>
              <w:rPr>
                <w:rFonts w:eastAsia="Calibri"/>
                <w:b/>
                <w:bCs/>
                <w:lang w:val="ru-RU"/>
              </w:rPr>
              <w:t xml:space="preserve">об'єкту</w:t>
            </w:r>
            <w:r>
              <w:rPr>
                <w:rFonts w:eastAsia="Calibri"/>
                <w:b/>
                <w:bCs/>
                <w:lang w:val="ru-RU"/>
              </w:rPr>
              <w:t xml:space="preserve"> ДУ ЦІТ МВС </w:t>
            </w:r>
            <w:r>
              <w:rPr>
                <w:rFonts w:eastAsia="Calibri"/>
                <w:b/>
                <w:bCs/>
                <w:lang w:val="ru-RU"/>
              </w:rPr>
              <w:t xml:space="preserve">України</w:t>
            </w:r>
            <w:r>
              <w:rPr>
                <w:rFonts w:eastAsia="Calibri"/>
                <w:b/>
                <w:bCs/>
                <w:lang w:val="ru-RU"/>
              </w:rPr>
              <w:t xml:space="preserve">, </w:t>
            </w:r>
            <w:r>
              <w:rPr>
                <w:rFonts w:eastAsia="Calibri"/>
                <w:b/>
                <w:bCs/>
                <w:lang w:val="ru-RU"/>
              </w:rPr>
              <w:t xml:space="preserve">розміщеного</w:t>
            </w:r>
            <w:r>
              <w:rPr>
                <w:rFonts w:eastAsia="Calibri"/>
                <w:b/>
                <w:bCs/>
                <w:lang w:val="ru-RU"/>
              </w:rPr>
              <w:t xml:space="preserve"> за </w:t>
            </w:r>
            <w:r>
              <w:rPr>
                <w:rFonts w:eastAsia="Calibri"/>
                <w:b/>
                <w:bCs/>
                <w:lang w:val="ru-RU"/>
              </w:rPr>
              <w:t xml:space="preserve">адресою</w:t>
            </w:r>
            <w:r>
              <w:rPr>
                <w:rFonts w:eastAsia="Calibri"/>
                <w:b/>
                <w:bCs/>
                <w:lang w:val="ru-RU"/>
              </w:rPr>
              <w:t xml:space="preserve">: </w:t>
            </w:r>
            <w:r>
              <w:rPr>
                <w:rFonts w:eastAsia="Calibri"/>
                <w:b/>
                <w:bCs/>
                <w:lang w:val="ru-RU"/>
              </w:rPr>
              <w:t xml:space="preserve">вул</w:t>
            </w:r>
            <w:r>
              <w:rPr>
                <w:rFonts w:eastAsia="Calibri"/>
                <w:b/>
                <w:bCs/>
                <w:lang w:val="ru-RU"/>
              </w:rPr>
              <w:t xml:space="preserve">. Титова, 18, м. </w:t>
            </w:r>
            <w:r>
              <w:rPr>
                <w:rFonts w:eastAsia="Calibri"/>
                <w:b/>
                <w:bCs/>
                <w:lang w:val="ru-RU"/>
              </w:rPr>
              <w:t xml:space="preserve">Дніпро</w:t>
            </w:r>
            <w:r>
              <w:rPr>
                <w:rFonts w:eastAsia="Calibri"/>
                <w:b/>
                <w:bCs/>
                <w:lang w:val="ru-RU"/>
              </w:rPr>
              <w:t xml:space="preserve">, </w:t>
            </w:r>
            <w:r>
              <w:rPr>
                <w:rFonts w:eastAsia="Calibri"/>
                <w:b/>
                <w:bCs/>
                <w:lang w:val="ru-RU"/>
              </w:rPr>
              <w:t xml:space="preserve">Дніпропетровська</w:t>
            </w:r>
            <w:r>
              <w:rPr>
                <w:rFonts w:eastAsia="Calibri"/>
                <w:b/>
                <w:bCs/>
                <w:lang w:val="ru-RU"/>
              </w:rPr>
              <w:t xml:space="preserve"> обл.)</w:t>
            </w:r>
            <w:r/>
          </w:p>
        </w:tc>
        <w:tc>
          <w:tcPr>
            <w:tcBorders>
              <w:top w:val="single" w:color="auto" w:sz="4" w:space="0"/>
              <w:left w:val="single" w:color="auto" w:sz="4" w:space="0"/>
              <w:bottom w:val="single" w:color="auto" w:sz="4" w:space="0"/>
              <w:right w:val="single" w:color="auto" w:sz="4" w:space="0"/>
            </w:tcBorders>
            <w:tcW w:w="1275" w:type="dxa"/>
            <w:vAlign w:val="center"/>
            <w:textDirection w:val="lrTb"/>
            <w:noWrap w:val="false"/>
          </w:tcPr>
          <w:p>
            <w:pPr>
              <w:pStyle w:val="726"/>
              <w:jc w:val="center"/>
              <w:rPr>
                <w:lang w:val="ru-RU"/>
              </w:rPr>
            </w:pPr>
            <w:r>
              <w:rPr>
                <w:lang w:val="ru-RU"/>
              </w:rPr>
              <w:t xml:space="preserve">посл.</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26"/>
              <w:jc w:val="center"/>
              <w:rPr>
                <w:lang w:val="ru-RU"/>
              </w:rPr>
            </w:pPr>
            <w:r>
              <w:rPr>
                <w:lang w:val="ru-RU"/>
              </w:rPr>
              <w:t xml:space="preserve">9</w:t>
            </w:r>
            <w:r/>
          </w:p>
        </w:tc>
      </w:tr>
    </w:tbl>
    <w:p>
      <w:pPr>
        <w:pStyle w:val="726"/>
        <w:jc w:val="both"/>
        <w:spacing w:after="0" w:line="240" w:lineRule="auto"/>
        <w:rPr>
          <w:rFonts w:eastAsia="Times New Roman"/>
          <w:b/>
          <w:bCs/>
          <w:i/>
          <w:iCs/>
          <w:lang w:eastAsia="ru-RU"/>
        </w:rPr>
      </w:pPr>
      <w:r>
        <w:rPr>
          <w:rFonts w:eastAsia="Times New Roman"/>
          <w:b/>
          <w:bCs/>
          <w:i/>
          <w:iCs/>
          <w:lang w:eastAsia="ru-RU"/>
        </w:rPr>
      </w:r>
      <w:bookmarkEnd w:id="0"/>
      <w:r/>
    </w:p>
    <w:p>
      <w:pPr>
        <w:ind w:firstLine="708"/>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Запропоновані учасником послуги повинні відповідати діючим стандартам та наступним технічним вимогам:</w:t>
      </w: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ведення цілодобового спостереження за об’єктом, прилеглої до нього території особисто та за допомогою системи відеоспостереження встановленої на об’єкті;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забезпечення встановленого на об’єкті контрольно-перепускного режиму та припинення, в межах наданих законодавством України повноважень, порушень громадського порядку на об’єкті;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недопущення несанкціонованого проникнення сторонніх осіб на територію об’єкта;</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контроль за переміщенням товарно- матеріальних цінностей на/з території об’єкта охорони;</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здійснення адекватного реагування при виникненні позаштатних ситуацій;</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підтримання громадського порядку на території поста охорони та території об’єкта;</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контроль за дотриманням заходів пожежної безпеки на об’єкті;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ведення службової документації щодо переміщення на об’єкті охорони;</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виконання обов’язків у відповідності до Інструкції з охорони об’єкту;</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здійснення технічно грамотної експлуатації (застосування) засобів керування освітленням, воріт, засобів гасіння пожежі, іншого обладнання, дотримання встановлених норм пожежної безпеки та вимог санітарно-гігієнічних норм на посту охорони.</w:t>
      </w:r>
      <w:r/>
    </w:p>
    <w:p>
      <w:pPr>
        <w:ind w:firstLine="567"/>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Вимоги до учасника закупівлі.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Учасник закупівлі  має мати у своєму складі: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групу швидкого реагування на випадок виникнення надзвичайної ситуації на об’єкті, які знаходяться на цілодобовому чергуванні;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службовий автомобіль;</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ліхтарі;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формений одяг кожному з охоронців, яких планується залучити до охорони об’єкта;</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спеціальні засоби активної оборони (бронежилети, гумові кийки ПР73, газові балончики з аерозолями дратівної дії Терен 4М).</w:t>
      </w:r>
      <w:r/>
    </w:p>
    <w:p>
      <w:pPr>
        <w:ind w:firstLine="567"/>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Вимоги до охоронців:</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вік від 18 років, представницький зовнішній вигляд;</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знання основ законодавчої бази, бути фізично підготовленими;</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уміння попередити потенційну небезпеку і уникнути її, знати, як діяти в екстремальних ситуаціях, уміти швидко реагувати, не піддаватися паніці, аналізувати ситуацію, миттєво приймати рішення;</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спостережливість напо</w:t>
      </w:r>
      <w:r>
        <w:rPr>
          <w:rFonts w:ascii="Times New Roman" w:hAnsi="Times New Roman" w:cs="Times New Roman"/>
          <w:bCs/>
          <w:sz w:val="24"/>
          <w:szCs w:val="24"/>
        </w:rPr>
        <w:t xml:space="preserve">легливість, здатність до тривалого збереження високої активності, добре розвинена довготривала пам'ять на зовнішність і поведінку людей, навколишнє оточення, наочно-образне і практичне мислення, здібність до відтворення зорового образу за словесним описом;</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емоційно-вольова стійкість;</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наявність знань та навичок роботи з приладами охоронної та протипожежної сигналізації, засобами для гасіння пожежі;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медичними протипоказаннями є захворювання нервової системи і опорно-рухового апарату, виражене зниження зору і слуху.</w:t>
      </w:r>
      <w:r/>
    </w:p>
    <w:p>
      <w:pPr>
        <w:ind w:firstLine="567"/>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Черговий охоронець зобов’язаний:</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постійно перебувати на пункті перепуску об’єкта;</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буди охайно вдягнутим, у формений одяг з емблемою учасника закупівлі, мати при собі всі засоби активної оборони для охорони об’єкта;</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пе</w:t>
      </w:r>
      <w:r>
        <w:rPr>
          <w:rFonts w:ascii="Times New Roman" w:hAnsi="Times New Roman" w:cs="Times New Roman"/>
          <w:bCs/>
          <w:sz w:val="24"/>
          <w:szCs w:val="24"/>
        </w:rPr>
        <w:t xml:space="preserve">ревіряти документи сторонніх осіб, які посвідчують особу, що прибула на об’єкт, при цьому звіряти відповідність фотографії на документі до особи, яка його пред’являє. Не допускати на об’єкт осіб, які знаходяться під впливом алкоголю чи наркотичних засобів;</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пропускати працівників, за посвідчення особи, контролювати роботу автоматизованої системи обмеження доступу до об’єкта;</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забезпечувати прийом та видачу ключів від службових приміщень працівникам;</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здійснювати пропуск відвідувачів після отримання оформленої разової перепустки;</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перевіряти за матеріальною перепусткою (дорожнім листком, накладною) винесення (внесення) чи вивезення (ввезення) будь якого майна, що саме і в якій кількості (кількість місць) дозволено винести (</w:t>
      </w:r>
      <w:r>
        <w:rPr>
          <w:rFonts w:ascii="Times New Roman" w:hAnsi="Times New Roman" w:cs="Times New Roman"/>
          <w:bCs/>
          <w:sz w:val="24"/>
          <w:szCs w:val="24"/>
        </w:rPr>
        <w:t xml:space="preserve">внести</w:t>
      </w:r>
      <w:r>
        <w:rPr>
          <w:rFonts w:ascii="Times New Roman" w:hAnsi="Times New Roman" w:cs="Times New Roman"/>
          <w:bCs/>
          <w:sz w:val="24"/>
          <w:szCs w:val="24"/>
        </w:rPr>
        <w:t xml:space="preserve">) чи вивезти (ввезти);</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не дозволяти виносити (вносити) чи вивозити (ввозити) будь яке майно з території (на територію) без відповідного дозволу;</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при зверненні до співробітників та відвідувачів бути ввічливим і тактовним;</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у разі виникнення пожежі організувати пропуск пожежних машин, направити їх до місця пожежі та повідомити про найближчі джерела пожежного водопостачання;</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зачиняти вікна та двері, вимикати світло, закривати воду (за необхідністю).</w:t>
      </w:r>
      <w:r/>
    </w:p>
    <w:p>
      <w:pPr>
        <w:ind w:firstLine="567"/>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Технічні та якісні характеристики предмета закупівлі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Завдання та вимоги до учасників предмета закупівлі щодо надання охоронних послуг:</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здійснення охорони та забезпечення цілісності будівлі і матеріальних цінностей Державної установи «Центр інфраструктури та технологій Міністерства внутрішніх справ України» (далі – ДУ ЦІТ МВС України);</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забезпечення пропускного режиму працівників та відвідувачів ДУ ЦІТ МВС України;</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контроль за внесенням та винесенням (ввезенням та вивезенням) товарно-матеріальних цінностей з приміщень, що охороняються;</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наявність у охоронців спецзасобів активної оборони (бронежилети 3 класу, гумові кийки ПР73, газові балончики з аерозолями дратівної дії Терен 4М, кайданки), форменого </w:t>
      </w:r>
      <w:r>
        <w:rPr>
          <w:rFonts w:ascii="Times New Roman" w:hAnsi="Times New Roman" w:cs="Times New Roman"/>
          <w:bCs/>
          <w:sz w:val="24"/>
          <w:szCs w:val="24"/>
        </w:rPr>
        <w:t xml:space="preserve">одягу відповідної пори року; на підтвердження учаснику потрібно надати фото форменого одягу за сезоном та зі спецзасобами.</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забезпечення залучення до несення служби досвідчених працівників, які відповідають кваліфікаційним вимогам згідно встановлених Ліцензійних умов провадження господарської діяльності з надання послуг пов’язаних з охороною державної та іншої власності;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наявність у в учасника діючого сертифікату відповідності (надається учасником в складі тендерної пропозиції), який підтверджує відповідність головного пункту централізованого спостереження (ГПЦС) в якості центру </w:t>
      </w:r>
      <w:r>
        <w:rPr>
          <w:rFonts w:ascii="Times New Roman" w:hAnsi="Times New Roman" w:cs="Times New Roman"/>
          <w:bCs/>
          <w:sz w:val="24"/>
          <w:szCs w:val="24"/>
        </w:rPr>
        <w:t xml:space="preserve">спостерження</w:t>
      </w:r>
      <w:r>
        <w:rPr>
          <w:rFonts w:ascii="Times New Roman" w:hAnsi="Times New Roman" w:cs="Times New Roman"/>
          <w:bCs/>
          <w:sz w:val="24"/>
          <w:szCs w:val="24"/>
        </w:rPr>
        <w:t xml:space="preserve"> а приймання тривожних сповіщень (ЦСПТС) категорії </w:t>
      </w:r>
      <w:r>
        <w:rPr>
          <w:rFonts w:ascii="Times New Roman" w:hAnsi="Times New Roman" w:cs="Times New Roman"/>
          <w:bCs/>
          <w:sz w:val="24"/>
          <w:szCs w:val="24"/>
          <w:lang w:val="en-US"/>
        </w:rPr>
        <w:t xml:space="preserve">I</w:t>
      </w:r>
      <w:r>
        <w:rPr>
          <w:rFonts w:ascii="Times New Roman" w:hAnsi="Times New Roman" w:cs="Times New Roman"/>
          <w:bCs/>
          <w:sz w:val="24"/>
          <w:szCs w:val="24"/>
        </w:rPr>
        <w:t xml:space="preserve"> вимогам Державних стандартів України, а саме ДСТУ E</w:t>
      </w:r>
      <w:r>
        <w:rPr>
          <w:rFonts w:ascii="Times New Roman" w:hAnsi="Times New Roman" w:cs="Times New Roman"/>
          <w:bCs/>
          <w:sz w:val="24"/>
          <w:szCs w:val="24"/>
        </w:rPr>
        <w:t xml:space="preserve">N 50518-1:2019, Наявність сертифікату ДСТУ ISO 9001:2015 (ISO 9001:2015, IDT) або ДСТУ EN ISO 9001:2018 Системи управління якістю – надати копію документу виданий відповідним органом з сертифікації, акредитованим національним органом України з акредитації;</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shd w:val="clear" w:color="auto" w:fill="fefefe"/>
        </w:rPr>
        <w:t xml:space="preserve">Орган сертифікації, який видав учаснику сертифікати відповід</w:t>
      </w:r>
      <w:r>
        <w:rPr>
          <w:rFonts w:ascii="Times New Roman" w:hAnsi="Times New Roman" w:cs="Times New Roman"/>
          <w:bCs/>
          <w:sz w:val="24"/>
          <w:szCs w:val="24"/>
          <w:shd w:val="clear" w:color="auto" w:fill="fefefe"/>
        </w:rPr>
        <w:t xml:space="preserve">ності, повинен буди акредитований НААУ на даний вид послуг/робіт щодо наявності права у такого органу сертифікації видавати відповідний сертифікат ДСТУ, на підтвердження учасник надає копію Атестату про акредитацію та Сфери акредитації органу сертифікації.</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лист, що підтверджує досвід надання учасником послуг з організації охорони правопорядку та громадського порядку, не менше 3-х років;</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працівники учасника повинні мати визначені законодавством права та повноваження на озброєну охорону та застосування владних функцій щодо правопорушників. З метою пі</w:t>
      </w:r>
      <w:r>
        <w:rPr>
          <w:rFonts w:ascii="Times New Roman" w:hAnsi="Times New Roman" w:cs="Times New Roman"/>
          <w:bCs/>
          <w:sz w:val="24"/>
          <w:szCs w:val="24"/>
        </w:rPr>
        <w:t xml:space="preserve">дтвердження даної вимоги учасник в складі своєї пропозиції  надає не менше 10 копій свідоцтва про проходження охоронниками навчання у відповідному навчальному закладі, з присвоєнням (підвищенням) розряду охоронника не нижче 3-го (несення служби зі зброєю);</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наявність в учасника діючого спеціального дозволу на провадження діяльності, пов’язаної з державною таємницею, виданого Службою безпеки України (копія спеціального дозволу надається учасником в складі тендерної пропозиції).</w:t>
      </w:r>
      <w:r/>
    </w:p>
    <w:p>
      <w:pPr>
        <w:ind w:firstLine="567"/>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Режим надання послуг ДУ ЦІТ МВС України:</w:t>
      </w:r>
      <w:r/>
    </w:p>
    <w:p>
      <w:pPr>
        <w:ind w:firstLine="567"/>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Цілодобово 1 особа за </w:t>
      </w:r>
      <w:r>
        <w:rPr>
          <w:rFonts w:ascii="Times New Roman" w:hAnsi="Times New Roman" w:cs="Times New Roman"/>
          <w:b/>
          <w:sz w:val="24"/>
          <w:szCs w:val="24"/>
        </w:rPr>
        <w:t xml:space="preserve">адресою</w:t>
      </w:r>
      <w:r>
        <w:rPr>
          <w:rFonts w:ascii="Times New Roman" w:hAnsi="Times New Roman" w:cs="Times New Roman"/>
          <w:b/>
          <w:sz w:val="24"/>
          <w:szCs w:val="24"/>
        </w:rPr>
        <w:t xml:space="preserve">:</w:t>
      </w:r>
      <w:r/>
    </w:p>
    <w:p>
      <w:pPr>
        <w:ind w:right="-1"/>
        <w:jc w:val="both"/>
        <w:spacing w:after="0" w:line="240" w:lineRule="auto"/>
        <w:widowControl w:val="off"/>
        <w:rPr>
          <w:rFonts w:ascii="Times New Roman" w:hAnsi="Times New Roman" w:cs="Times New Roman"/>
          <w:bCs/>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вул. Титова, 18, м. Дніпро, Дніпропетровська область</w:t>
      </w:r>
      <w:r>
        <w:rPr>
          <w:rFonts w:ascii="Times New Roman" w:hAnsi="Times New Roman" w:cs="Times New Roman"/>
          <w:bCs/>
          <w:sz w:val="24"/>
          <w:szCs w:val="24"/>
        </w:rPr>
        <w:t xml:space="preserve">;</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1 045 000,00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один мільйон сорок п’ять тисяч</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7">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9">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0">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1">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2">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6">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4">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29"/>
  </w:num>
  <w:num w:numId="2">
    <w:abstractNumId w:val="17"/>
  </w:num>
  <w:num w:numId="3">
    <w:abstractNumId w:val="7"/>
  </w:num>
  <w:num w:numId="4">
    <w:abstractNumId w:val="24"/>
  </w:num>
  <w:num w:numId="5">
    <w:abstractNumId w:val="6"/>
  </w:num>
  <w:num w:numId="6">
    <w:abstractNumId w:val="30"/>
  </w:num>
  <w:num w:numId="7">
    <w:abstractNumId w:val="10"/>
  </w:num>
  <w:num w:numId="8">
    <w:abstractNumId w:val="32"/>
  </w:num>
  <w:num w:numId="9">
    <w:abstractNumId w:val="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8"/>
  </w:num>
  <w:num w:numId="13">
    <w:abstractNumId w:val="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1"/>
  </w:num>
  <w:num w:numId="17">
    <w:abstractNumId w:val="0"/>
  </w:num>
  <w:num w:numId="18">
    <w:abstractNumId w:val="34"/>
  </w:num>
  <w:num w:numId="19">
    <w:abstractNumId w:val="25"/>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6"/>
  </w:num>
  <w:num w:numId="25">
    <w:abstractNumId w:val="19"/>
  </w:num>
  <w:num w:numId="26">
    <w:abstractNumId w:val="22"/>
  </w:num>
  <w:num w:numId="27">
    <w:abstractNumId w:val="27"/>
  </w:num>
  <w:num w:numId="28">
    <w:abstractNumId w:val="20"/>
  </w:num>
  <w:num w:numId="29">
    <w:abstractNumId w:val="28"/>
  </w:num>
  <w:num w:numId="30">
    <w:abstractNumId w:val="16"/>
  </w:num>
  <w:num w:numId="31">
    <w:abstractNumId w:val="2"/>
  </w:num>
  <w:num w:numId="32">
    <w:abstractNumId w:val="18"/>
  </w:num>
  <w:num w:numId="33">
    <w:abstractNumId w:val="15"/>
  </w:num>
  <w:num w:numId="34">
    <w:abstractNumId w:val="13"/>
  </w:num>
  <w:num w:numId="35">
    <w:abstractNumId w:val="33"/>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15"/>
    <w:next w:val="71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19"/>
    <w:link w:val="12"/>
    <w:uiPriority w:val="9"/>
    <w:rPr>
      <w:rFonts w:ascii="Arial" w:hAnsi="Arial" w:eastAsia="Arial" w:cs="Arial"/>
      <w:sz w:val="40"/>
      <w:szCs w:val="40"/>
    </w:rPr>
  </w:style>
  <w:style w:type="character" w:styleId="15">
    <w:name w:val="Heading 2 Char"/>
    <w:basedOn w:val="719"/>
    <w:link w:val="716"/>
    <w:uiPriority w:val="9"/>
    <w:rPr>
      <w:rFonts w:ascii="Arial" w:hAnsi="Arial" w:eastAsia="Arial" w:cs="Arial"/>
      <w:sz w:val="34"/>
    </w:rPr>
  </w:style>
  <w:style w:type="character" w:styleId="17">
    <w:name w:val="Heading 3 Char"/>
    <w:basedOn w:val="719"/>
    <w:link w:val="717"/>
    <w:uiPriority w:val="9"/>
    <w:rPr>
      <w:rFonts w:ascii="Arial" w:hAnsi="Arial" w:eastAsia="Arial" w:cs="Arial"/>
      <w:sz w:val="30"/>
      <w:szCs w:val="30"/>
    </w:rPr>
  </w:style>
  <w:style w:type="character" w:styleId="19">
    <w:name w:val="Heading 4 Char"/>
    <w:basedOn w:val="719"/>
    <w:link w:val="718"/>
    <w:uiPriority w:val="9"/>
    <w:rPr>
      <w:rFonts w:ascii="Arial" w:hAnsi="Arial" w:eastAsia="Arial" w:cs="Arial"/>
      <w:b/>
      <w:bCs/>
      <w:sz w:val="26"/>
      <w:szCs w:val="26"/>
    </w:rPr>
  </w:style>
  <w:style w:type="paragraph" w:styleId="20">
    <w:name w:val="Heading 5"/>
    <w:basedOn w:val="715"/>
    <w:next w:val="71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19"/>
    <w:link w:val="20"/>
    <w:uiPriority w:val="9"/>
    <w:rPr>
      <w:rFonts w:ascii="Arial" w:hAnsi="Arial" w:eastAsia="Arial" w:cs="Arial"/>
      <w:b/>
      <w:bCs/>
      <w:sz w:val="24"/>
      <w:szCs w:val="24"/>
    </w:rPr>
  </w:style>
  <w:style w:type="paragraph" w:styleId="22">
    <w:name w:val="Heading 6"/>
    <w:basedOn w:val="715"/>
    <w:next w:val="71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19"/>
    <w:link w:val="22"/>
    <w:uiPriority w:val="9"/>
    <w:rPr>
      <w:rFonts w:ascii="Arial" w:hAnsi="Arial" w:eastAsia="Arial" w:cs="Arial"/>
      <w:b/>
      <w:bCs/>
      <w:sz w:val="22"/>
      <w:szCs w:val="22"/>
    </w:rPr>
  </w:style>
  <w:style w:type="paragraph" w:styleId="24">
    <w:name w:val="Heading 7"/>
    <w:basedOn w:val="715"/>
    <w:next w:val="71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19"/>
    <w:link w:val="24"/>
    <w:uiPriority w:val="9"/>
    <w:rPr>
      <w:rFonts w:ascii="Arial" w:hAnsi="Arial" w:eastAsia="Arial" w:cs="Arial"/>
      <w:b/>
      <w:bCs/>
      <w:i/>
      <w:iCs/>
      <w:sz w:val="22"/>
      <w:szCs w:val="22"/>
    </w:rPr>
  </w:style>
  <w:style w:type="paragraph" w:styleId="26">
    <w:name w:val="Heading 8"/>
    <w:basedOn w:val="715"/>
    <w:next w:val="71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19"/>
    <w:link w:val="26"/>
    <w:uiPriority w:val="9"/>
    <w:rPr>
      <w:rFonts w:ascii="Arial" w:hAnsi="Arial" w:eastAsia="Arial" w:cs="Arial"/>
      <w:i/>
      <w:iCs/>
      <w:sz w:val="22"/>
      <w:szCs w:val="22"/>
    </w:rPr>
  </w:style>
  <w:style w:type="paragraph" w:styleId="28">
    <w:name w:val="Heading 9"/>
    <w:basedOn w:val="715"/>
    <w:next w:val="71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19"/>
    <w:link w:val="28"/>
    <w:uiPriority w:val="9"/>
    <w:rPr>
      <w:rFonts w:ascii="Arial" w:hAnsi="Arial" w:eastAsia="Arial" w:cs="Arial"/>
      <w:i/>
      <w:iCs/>
      <w:sz w:val="21"/>
      <w:szCs w:val="21"/>
    </w:rPr>
  </w:style>
  <w:style w:type="paragraph" w:styleId="33">
    <w:name w:val="Title"/>
    <w:basedOn w:val="715"/>
    <w:next w:val="715"/>
    <w:link w:val="34"/>
    <w:uiPriority w:val="10"/>
    <w:qFormat/>
    <w:pPr>
      <w:contextualSpacing/>
      <w:spacing w:before="300" w:after="200"/>
    </w:pPr>
    <w:rPr>
      <w:sz w:val="48"/>
      <w:szCs w:val="48"/>
    </w:rPr>
  </w:style>
  <w:style w:type="character" w:styleId="34">
    <w:name w:val="Title Char"/>
    <w:basedOn w:val="719"/>
    <w:link w:val="33"/>
    <w:uiPriority w:val="10"/>
    <w:rPr>
      <w:sz w:val="48"/>
      <w:szCs w:val="48"/>
    </w:rPr>
  </w:style>
  <w:style w:type="paragraph" w:styleId="35">
    <w:name w:val="Subtitle"/>
    <w:basedOn w:val="715"/>
    <w:next w:val="715"/>
    <w:link w:val="36"/>
    <w:uiPriority w:val="11"/>
    <w:qFormat/>
    <w:pPr>
      <w:spacing w:before="200" w:after="200"/>
    </w:pPr>
    <w:rPr>
      <w:sz w:val="24"/>
      <w:szCs w:val="24"/>
    </w:rPr>
  </w:style>
  <w:style w:type="character" w:styleId="36">
    <w:name w:val="Subtitle Char"/>
    <w:basedOn w:val="719"/>
    <w:link w:val="35"/>
    <w:uiPriority w:val="11"/>
    <w:rPr>
      <w:sz w:val="24"/>
      <w:szCs w:val="24"/>
    </w:rPr>
  </w:style>
  <w:style w:type="paragraph" w:styleId="37">
    <w:name w:val="Quote"/>
    <w:basedOn w:val="715"/>
    <w:next w:val="715"/>
    <w:link w:val="38"/>
    <w:uiPriority w:val="29"/>
    <w:qFormat/>
    <w:pPr>
      <w:ind w:left="720" w:right="720"/>
    </w:pPr>
    <w:rPr>
      <w:i/>
    </w:rPr>
  </w:style>
  <w:style w:type="character" w:styleId="38">
    <w:name w:val="Quote Char"/>
    <w:link w:val="37"/>
    <w:uiPriority w:val="29"/>
    <w:rPr>
      <w:i/>
    </w:rPr>
  </w:style>
  <w:style w:type="paragraph" w:styleId="39">
    <w:name w:val="Intense Quote"/>
    <w:basedOn w:val="715"/>
    <w:next w:val="71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15"/>
    <w:link w:val="42"/>
    <w:uiPriority w:val="99"/>
    <w:unhideWhenUsed/>
    <w:pPr>
      <w:spacing w:after="0" w:line="240" w:lineRule="auto"/>
      <w:tabs>
        <w:tab w:val="center" w:pos="7143" w:leader="none"/>
        <w:tab w:val="right" w:pos="14287" w:leader="none"/>
      </w:tabs>
    </w:pPr>
  </w:style>
  <w:style w:type="character" w:styleId="42">
    <w:name w:val="Header Char"/>
    <w:basedOn w:val="719"/>
    <w:link w:val="41"/>
    <w:uiPriority w:val="99"/>
  </w:style>
  <w:style w:type="character" w:styleId="44">
    <w:name w:val="Footer Char"/>
    <w:basedOn w:val="719"/>
    <w:link w:val="728"/>
    <w:uiPriority w:val="99"/>
  </w:style>
  <w:style w:type="paragraph" w:styleId="45">
    <w:name w:val="Caption"/>
    <w:basedOn w:val="715"/>
    <w:next w:val="715"/>
    <w:uiPriority w:val="35"/>
    <w:semiHidden/>
    <w:unhideWhenUsed/>
    <w:qFormat/>
    <w:pPr>
      <w:spacing w:line="276" w:lineRule="auto"/>
    </w:pPr>
    <w:rPr>
      <w:b/>
      <w:bCs/>
      <w:color w:val="4f81bd" w:themeColor="accent1"/>
      <w:sz w:val="18"/>
      <w:szCs w:val="18"/>
    </w:rPr>
  </w:style>
  <w:style w:type="character" w:styleId="46">
    <w:name w:val="Caption Char"/>
    <w:basedOn w:val="45"/>
    <w:link w:val="728"/>
    <w:uiPriority w:val="99"/>
  </w:style>
  <w:style w:type="table" w:styleId="48">
    <w:name w:val="Table Grid Light"/>
    <w:basedOn w:val="72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2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2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2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2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2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2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2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2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2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2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2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2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2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2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2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2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2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2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2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2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2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2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2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2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2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2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2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2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2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2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2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2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2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2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2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2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2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2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2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2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2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2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2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2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2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2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2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2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2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2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2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2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2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2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2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2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2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2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2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2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2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2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2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2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2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2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2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2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2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2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2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2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2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2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2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2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2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2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2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2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2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2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2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2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2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2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2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2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2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2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2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2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2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2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2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2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2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2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2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2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2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2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2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2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2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2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2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2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2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2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1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19"/>
    <w:uiPriority w:val="99"/>
    <w:unhideWhenUsed/>
    <w:rPr>
      <w:vertAlign w:val="superscript"/>
    </w:rPr>
  </w:style>
  <w:style w:type="paragraph" w:styleId="177">
    <w:name w:val="endnote text"/>
    <w:basedOn w:val="71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19"/>
    <w:uiPriority w:val="99"/>
    <w:semiHidden/>
    <w:unhideWhenUsed/>
    <w:rPr>
      <w:vertAlign w:val="superscript"/>
    </w:rPr>
  </w:style>
  <w:style w:type="paragraph" w:styleId="180">
    <w:name w:val="toc 1"/>
    <w:basedOn w:val="715"/>
    <w:next w:val="715"/>
    <w:uiPriority w:val="39"/>
    <w:unhideWhenUsed/>
    <w:pPr>
      <w:ind w:left="0" w:right="0" w:firstLine="0"/>
      <w:spacing w:after="57"/>
    </w:pPr>
  </w:style>
  <w:style w:type="paragraph" w:styleId="181">
    <w:name w:val="toc 2"/>
    <w:basedOn w:val="715"/>
    <w:next w:val="715"/>
    <w:uiPriority w:val="39"/>
    <w:unhideWhenUsed/>
    <w:pPr>
      <w:ind w:left="283" w:right="0" w:firstLine="0"/>
      <w:spacing w:after="57"/>
    </w:pPr>
  </w:style>
  <w:style w:type="paragraph" w:styleId="182">
    <w:name w:val="toc 3"/>
    <w:basedOn w:val="715"/>
    <w:next w:val="715"/>
    <w:uiPriority w:val="39"/>
    <w:unhideWhenUsed/>
    <w:pPr>
      <w:ind w:left="567" w:right="0" w:firstLine="0"/>
      <w:spacing w:after="57"/>
    </w:pPr>
  </w:style>
  <w:style w:type="paragraph" w:styleId="183">
    <w:name w:val="toc 4"/>
    <w:basedOn w:val="715"/>
    <w:next w:val="715"/>
    <w:uiPriority w:val="39"/>
    <w:unhideWhenUsed/>
    <w:pPr>
      <w:ind w:left="850" w:right="0" w:firstLine="0"/>
      <w:spacing w:after="57"/>
    </w:pPr>
  </w:style>
  <w:style w:type="paragraph" w:styleId="184">
    <w:name w:val="toc 5"/>
    <w:basedOn w:val="715"/>
    <w:next w:val="715"/>
    <w:uiPriority w:val="39"/>
    <w:unhideWhenUsed/>
    <w:pPr>
      <w:ind w:left="1134" w:right="0" w:firstLine="0"/>
      <w:spacing w:after="57"/>
    </w:pPr>
  </w:style>
  <w:style w:type="paragraph" w:styleId="185">
    <w:name w:val="toc 6"/>
    <w:basedOn w:val="715"/>
    <w:next w:val="715"/>
    <w:uiPriority w:val="39"/>
    <w:unhideWhenUsed/>
    <w:pPr>
      <w:ind w:left="1417" w:right="0" w:firstLine="0"/>
      <w:spacing w:after="57"/>
    </w:pPr>
  </w:style>
  <w:style w:type="paragraph" w:styleId="186">
    <w:name w:val="toc 7"/>
    <w:basedOn w:val="715"/>
    <w:next w:val="715"/>
    <w:uiPriority w:val="39"/>
    <w:unhideWhenUsed/>
    <w:pPr>
      <w:ind w:left="1701" w:right="0" w:firstLine="0"/>
      <w:spacing w:after="57"/>
    </w:pPr>
  </w:style>
  <w:style w:type="paragraph" w:styleId="187">
    <w:name w:val="toc 8"/>
    <w:basedOn w:val="715"/>
    <w:next w:val="715"/>
    <w:uiPriority w:val="39"/>
    <w:unhideWhenUsed/>
    <w:pPr>
      <w:ind w:left="1984" w:right="0" w:firstLine="0"/>
      <w:spacing w:after="57"/>
    </w:pPr>
  </w:style>
  <w:style w:type="paragraph" w:styleId="188">
    <w:name w:val="toc 9"/>
    <w:basedOn w:val="715"/>
    <w:next w:val="71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15"/>
    <w:next w:val="715"/>
    <w:uiPriority w:val="99"/>
    <w:unhideWhenUsed/>
    <w:pPr>
      <w:spacing w:after="0" w:afterAutospacing="0"/>
    </w:pPr>
  </w:style>
  <w:style w:type="paragraph" w:styleId="715" w:default="1">
    <w:name w:val="Normal"/>
    <w:qFormat/>
    <w:rPr>
      <w:lang w:val="uk-UA"/>
    </w:rPr>
  </w:style>
  <w:style w:type="paragraph" w:styleId="716">
    <w:name w:val="Heading 2"/>
    <w:basedOn w:val="715"/>
    <w:link w:val="73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17">
    <w:name w:val="Heading 3"/>
    <w:basedOn w:val="715"/>
    <w:next w:val="715"/>
    <w:link w:val="754"/>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18">
    <w:name w:val="Heading 4"/>
    <w:basedOn w:val="715"/>
    <w:next w:val="715"/>
    <w:link w:val="755"/>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19" w:default="1">
    <w:name w:val="Default Paragraph Font"/>
    <w:uiPriority w:val="1"/>
    <w:semiHidden/>
    <w:unhideWhenUsed/>
  </w:style>
  <w:style w:type="table" w:styleId="720" w:default="1">
    <w:name w:val="Normal Table"/>
    <w:uiPriority w:val="99"/>
    <w:semiHidden/>
    <w:unhideWhenUsed/>
    <w:tblPr>
      <w:tblInd w:w="0" w:type="dxa"/>
      <w:tblCellMar>
        <w:left w:w="108" w:type="dxa"/>
        <w:top w:w="0" w:type="dxa"/>
        <w:right w:w="108" w:type="dxa"/>
        <w:bottom w:w="0" w:type="dxa"/>
      </w:tblCellMar>
    </w:tblPr>
  </w:style>
  <w:style w:type="numbering" w:styleId="721" w:default="1">
    <w:name w:val="No List"/>
    <w:uiPriority w:val="99"/>
    <w:semiHidden/>
    <w:unhideWhenUsed/>
  </w:style>
  <w:style w:type="paragraph" w:styleId="722">
    <w:name w:val="List Paragraph"/>
    <w:basedOn w:val="715"/>
    <w:link w:val="723"/>
    <w:uiPriority w:val="34"/>
    <w:qFormat/>
    <w:pPr>
      <w:contextualSpacing/>
      <w:ind w:left="720"/>
      <w:spacing w:after="200" w:line="276" w:lineRule="auto"/>
    </w:pPr>
    <w:rPr>
      <w:rFonts w:ascii="Calibri" w:hAnsi="Calibri" w:eastAsia="Calibri" w:cs="Calibri"/>
      <w:lang w:val="ru-RU" w:eastAsia="zh-CN"/>
    </w:rPr>
  </w:style>
  <w:style w:type="character" w:styleId="723" w:customStyle="1">
    <w:name w:val="Абзац списку Знак"/>
    <w:link w:val="722"/>
    <w:uiPriority w:val="34"/>
    <w:qFormat/>
    <w:rPr>
      <w:rFonts w:ascii="Calibri" w:hAnsi="Calibri" w:eastAsia="Calibri" w:cs="Calibri"/>
      <w:lang w:eastAsia="zh-CN"/>
    </w:rPr>
  </w:style>
  <w:style w:type="table" w:styleId="724">
    <w:name w:val="Table Grid"/>
    <w:basedOn w:val="72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25" w:customStyle="1">
    <w:name w:val="Сетка таблицы2"/>
    <w:basedOn w:val="720"/>
    <w:next w:val="72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26">
    <w:name w:val="Normal (Web)"/>
    <w:basedOn w:val="715"/>
    <w:link w:val="733"/>
    <w:unhideWhenUsed/>
    <w:qFormat/>
    <w:rPr>
      <w:rFonts w:ascii="Times New Roman" w:hAnsi="Times New Roman" w:cs="Times New Roman"/>
      <w:sz w:val="24"/>
      <w:szCs w:val="24"/>
    </w:rPr>
  </w:style>
  <w:style w:type="table" w:styleId="727" w:customStyle="1">
    <w:name w:val="Сетка таблицы1"/>
    <w:basedOn w:val="720"/>
    <w:next w:val="72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28">
    <w:name w:val="Footer"/>
    <w:basedOn w:val="715"/>
    <w:link w:val="72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29" w:customStyle="1">
    <w:name w:val="Нижній колонтитул Знак"/>
    <w:basedOn w:val="719"/>
    <w:link w:val="728"/>
    <w:uiPriority w:val="99"/>
    <w:rPr>
      <w:rFonts w:ascii="Calibri" w:hAnsi="Calibri" w:eastAsia="Calibri" w:cs="Calibri"/>
      <w:lang w:eastAsia="zh-CN"/>
    </w:rPr>
  </w:style>
  <w:style w:type="paragraph" w:styleId="73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31">
    <w:name w:val="Hyperlink"/>
    <w:basedOn w:val="719"/>
    <w:uiPriority w:val="99"/>
    <w:unhideWhenUsed/>
    <w:rPr>
      <w:color w:val="0563c1" w:themeColor="hyperlink"/>
      <w:u w:val="single"/>
    </w:rPr>
  </w:style>
  <w:style w:type="character" w:styleId="732" w:customStyle="1">
    <w:name w:val="xfm_93972720"/>
    <w:basedOn w:val="719"/>
  </w:style>
  <w:style w:type="character" w:styleId="733" w:customStyle="1">
    <w:name w:val="Звичайний (веб) Знак"/>
    <w:link w:val="726"/>
    <w:qFormat/>
    <w:rPr>
      <w:rFonts w:ascii="Times New Roman" w:hAnsi="Times New Roman" w:cs="Times New Roman"/>
      <w:sz w:val="24"/>
      <w:szCs w:val="24"/>
      <w:lang w:val="uk-UA"/>
    </w:rPr>
  </w:style>
  <w:style w:type="paragraph" w:styleId="734">
    <w:name w:val="Body Text 2"/>
    <w:basedOn w:val="715"/>
    <w:link w:val="735"/>
    <w:pPr>
      <w:spacing w:after="0" w:line="240" w:lineRule="auto"/>
    </w:pPr>
    <w:rPr>
      <w:rFonts w:ascii="Times New Roman" w:hAnsi="Times New Roman" w:eastAsia="Times New Roman" w:cs="Times New Roman"/>
      <w:sz w:val="28"/>
      <w:szCs w:val="20"/>
      <w:lang w:val="ru-RU" w:eastAsia="ru-RU"/>
    </w:rPr>
  </w:style>
  <w:style w:type="character" w:styleId="735" w:customStyle="1">
    <w:name w:val="Основний текст 2 Знак"/>
    <w:basedOn w:val="719"/>
    <w:link w:val="734"/>
    <w:rPr>
      <w:rFonts w:ascii="Times New Roman" w:hAnsi="Times New Roman" w:eastAsia="Times New Roman" w:cs="Times New Roman"/>
      <w:sz w:val="28"/>
      <w:szCs w:val="20"/>
      <w:lang w:eastAsia="ru-RU"/>
    </w:rPr>
  </w:style>
  <w:style w:type="paragraph" w:styleId="73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37" w:customStyle="1">
    <w:name w:val="Заголовок 2 Знак"/>
    <w:basedOn w:val="719"/>
    <w:link w:val="716"/>
    <w:uiPriority w:val="9"/>
    <w:rPr>
      <w:rFonts w:ascii="Times New Roman" w:hAnsi="Times New Roman" w:eastAsia="Times New Roman" w:cs="Times New Roman"/>
      <w:b/>
      <w:bCs/>
      <w:sz w:val="36"/>
      <w:szCs w:val="36"/>
      <w:lang w:val="uk-UA" w:eastAsia="uk-UA"/>
    </w:rPr>
  </w:style>
  <w:style w:type="paragraph" w:styleId="738">
    <w:name w:val="No Spacing"/>
    <w:link w:val="739"/>
    <w:uiPriority w:val="1"/>
    <w:qFormat/>
    <w:pPr>
      <w:spacing w:after="0" w:line="240" w:lineRule="auto"/>
    </w:pPr>
    <w:rPr>
      <w:rFonts w:ascii="Calibri" w:hAnsi="Calibri" w:eastAsia="Calibri" w:cs="Times New Roman"/>
      <w:lang w:val="uk-UA"/>
    </w:rPr>
  </w:style>
  <w:style w:type="character" w:styleId="739" w:customStyle="1">
    <w:name w:val="Без інтервалів Знак"/>
    <w:basedOn w:val="719"/>
    <w:link w:val="738"/>
    <w:uiPriority w:val="1"/>
    <w:rPr>
      <w:rFonts w:ascii="Calibri" w:hAnsi="Calibri" w:eastAsia="Calibri" w:cs="Times New Roman"/>
      <w:lang w:val="uk-UA"/>
    </w:rPr>
  </w:style>
  <w:style w:type="character" w:styleId="740" w:customStyle="1">
    <w:name w:val="Другое_"/>
    <w:basedOn w:val="719"/>
    <w:link w:val="741"/>
    <w:rPr>
      <w:rFonts w:ascii="Calibri" w:hAnsi="Calibri" w:eastAsia="Calibri" w:cs="Calibri"/>
      <w:sz w:val="20"/>
      <w:szCs w:val="20"/>
    </w:rPr>
  </w:style>
  <w:style w:type="paragraph" w:styleId="741" w:customStyle="1">
    <w:name w:val="Другое"/>
    <w:basedOn w:val="715"/>
    <w:link w:val="740"/>
    <w:qFormat/>
    <w:pPr>
      <w:spacing w:after="0" w:line="240" w:lineRule="auto"/>
      <w:widowControl w:val="off"/>
    </w:pPr>
    <w:rPr>
      <w:rFonts w:ascii="Calibri" w:hAnsi="Calibri" w:eastAsia="Calibri" w:cs="Calibri"/>
      <w:sz w:val="20"/>
      <w:szCs w:val="20"/>
      <w:lang w:val="ru-RU"/>
    </w:rPr>
  </w:style>
  <w:style w:type="paragraph" w:styleId="74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43" w:customStyle="1">
    <w:name w:val="Основной текст (2)_"/>
    <w:basedOn w:val="719"/>
    <w:link w:val="744"/>
    <w:rPr>
      <w:rFonts w:eastAsia="Times New Roman" w:cs="Times New Roman"/>
      <w:shd w:val="clear" w:color="auto" w:fill="ffffff"/>
    </w:rPr>
  </w:style>
  <w:style w:type="paragraph" w:styleId="744" w:customStyle="1">
    <w:name w:val="Основной текст (2)"/>
    <w:basedOn w:val="715"/>
    <w:link w:val="743"/>
    <w:pPr>
      <w:ind w:hanging="700"/>
      <w:jc w:val="both"/>
      <w:spacing w:before="240" w:after="480" w:line="0" w:lineRule="atLeast"/>
      <w:shd w:val="clear" w:color="auto" w:fill="ffffff"/>
      <w:widowControl w:val="off"/>
    </w:pPr>
    <w:rPr>
      <w:rFonts w:eastAsia="Times New Roman" w:cs="Times New Roman"/>
      <w:lang w:val="ru-RU"/>
    </w:rPr>
  </w:style>
  <w:style w:type="character" w:styleId="745" w:customStyle="1">
    <w:name w:val="Текст у виносці Знак"/>
    <w:basedOn w:val="719"/>
    <w:link w:val="746"/>
    <w:uiPriority w:val="99"/>
    <w:semiHidden/>
    <w:rPr>
      <w:rFonts w:ascii="Segoe UI" w:hAnsi="Segoe UI" w:eastAsia="Times New Roman" w:cs="Segoe UI"/>
      <w:sz w:val="18"/>
      <w:szCs w:val="18"/>
      <w:lang w:eastAsia="ru-RU"/>
    </w:rPr>
  </w:style>
  <w:style w:type="paragraph" w:styleId="746">
    <w:name w:val="Balloon Text"/>
    <w:basedOn w:val="715"/>
    <w:link w:val="74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47" w:customStyle="1">
    <w:name w:val="Текст у виносці Знак1"/>
    <w:basedOn w:val="719"/>
    <w:uiPriority w:val="99"/>
    <w:semiHidden/>
    <w:rPr>
      <w:rFonts w:ascii="Segoe UI" w:hAnsi="Segoe UI" w:cs="Segoe UI"/>
      <w:sz w:val="18"/>
      <w:szCs w:val="18"/>
      <w:lang w:val="uk-UA"/>
    </w:rPr>
  </w:style>
  <w:style w:type="character" w:styleId="748" w:customStyle="1">
    <w:name w:val="T23"/>
    <w:rPr>
      <w:rFonts w:hint="default" w:ascii="Times New Roman" w:hAnsi="Times New Roman" w:eastAsia="Times New Roman1" w:cs="Times New Roman"/>
    </w:rPr>
  </w:style>
  <w:style w:type="paragraph" w:styleId="749" w:customStyle="1">
    <w:name w:val="Абзац списку1"/>
    <w:basedOn w:val="71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50" w:customStyle="1">
    <w:name w:val="markedcontent"/>
    <w:basedOn w:val="719"/>
  </w:style>
  <w:style w:type="paragraph" w:styleId="751">
    <w:name w:val="annotation text"/>
    <w:basedOn w:val="715"/>
    <w:link w:val="75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52" w:customStyle="1">
    <w:name w:val="Текст примітки Знак"/>
    <w:basedOn w:val="719"/>
    <w:link w:val="751"/>
    <w:uiPriority w:val="99"/>
    <w:rPr>
      <w:rFonts w:ascii="Times New Roman" w:hAnsi="Times New Roman" w:eastAsia="Times New Roman" w:cs="Times New Roman"/>
      <w:sz w:val="20"/>
      <w:szCs w:val="20"/>
      <w:lang w:eastAsia="ru-RU"/>
    </w:rPr>
  </w:style>
  <w:style w:type="character" w:styleId="753" w:customStyle="1">
    <w:name w:val="docdata"/>
    <w:basedOn w:val="719"/>
  </w:style>
  <w:style w:type="character" w:styleId="754" w:customStyle="1">
    <w:name w:val="Заголовок 3 Знак"/>
    <w:basedOn w:val="719"/>
    <w:link w:val="717"/>
    <w:uiPriority w:val="9"/>
    <w:semiHidden/>
    <w:rPr>
      <w:rFonts w:asciiTheme="majorHAnsi" w:hAnsiTheme="majorHAnsi" w:eastAsiaTheme="majorEastAsia" w:cstheme="majorBidi"/>
      <w:color w:val="1f4d78" w:themeColor="accent1" w:themeShade="7F"/>
      <w:sz w:val="24"/>
      <w:szCs w:val="24"/>
      <w:lang w:val="uk-UA"/>
    </w:rPr>
  </w:style>
  <w:style w:type="character" w:styleId="755" w:customStyle="1">
    <w:name w:val="Заголовок 4 Знак"/>
    <w:basedOn w:val="719"/>
    <w:link w:val="718"/>
    <w:uiPriority w:val="9"/>
    <w:semiHidden/>
    <w:rPr>
      <w:rFonts w:asciiTheme="majorHAnsi" w:hAnsiTheme="majorHAnsi" w:eastAsiaTheme="majorEastAsia" w:cstheme="majorBidi"/>
      <w:i/>
      <w:iCs/>
      <w:color w:val="2e74b5" w:themeColor="accent1" w:themeShade="BF"/>
      <w:lang w:val="uk-UA"/>
    </w:rPr>
  </w:style>
  <w:style w:type="paragraph" w:styleId="756" w:customStyle="1">
    <w:name w:val="name-spec"/>
    <w:basedOn w:val="715"/>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57" w:customStyle="1">
    <w:name w:val="cont-spec"/>
    <w:basedOn w:val="715"/>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58">
    <w:name w:val="Strong"/>
    <w:basedOn w:val="719"/>
    <w:uiPriority w:val="22"/>
    <w:qFormat/>
    <w:rPr>
      <w:b/>
      <w:b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152</cp:revision>
  <dcterms:created xsi:type="dcterms:W3CDTF">2022-11-01T12:47:00Z</dcterms:created>
  <dcterms:modified xsi:type="dcterms:W3CDTF">2024-03-25T14:04:41Z</dcterms:modified>
</cp:coreProperties>
</file>