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eastAsia="Calibri" w:cs="Times New Roman"/>
          <w:b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Назва предм</w:t>
      </w:r>
      <w:r>
        <w:rPr>
          <w:rFonts w:ascii="Times New Roman" w:hAnsi="Times New Roman" w:cs="Times New Roman"/>
          <w:b/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Послуги з організації та доступу до каналів передачі даних за код ДК 021:2015 64210000-1 «</w:t>
      </w:r>
      <w:r>
        <w:rPr>
          <w:rFonts w:ascii="Times New Roman" w:hAnsi="Times New Roman" w:cs="Times New Roman"/>
          <w:sz w:val="24"/>
          <w:szCs w:val="24"/>
        </w:rPr>
        <w:t xml:space="preserve">Послуги телефонного зв’язку та передачі даних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»</w:t>
      </w:r>
      <w:r/>
    </w:p>
    <w:p>
      <w:pPr>
        <w:pStyle w:val="688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color w:val="585858"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16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002279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Послуги з організації та доступу до каналів передачі даних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br/>
      </w:r>
      <w:r/>
    </w:p>
    <w:tbl>
      <w:tblPr>
        <w:tblW w:w="96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865"/>
        <w:gridCol w:w="6363"/>
        <w:gridCol w:w="1254"/>
        <w:gridCol w:w="1148"/>
      </w:tblGrid>
      <w:tr>
        <w:trPr>
          <w:trHeight w:val="3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робіт і витрат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Організація каналу передачі даних на швидкості 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Мбіт/с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між будівлями в м. Києві за адресами: вул. Волинська,  26 – вул. Межигірська, 8, з подальшим наданням у користування цього каналу передачі даних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Організація каналу передачі даних на швидкості 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Мбіт/с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між будівлями в м. Києві 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м.Біла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Церква за адресами: вул. Волинська,  26 – м. Біла Церква, вул.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Водопільна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40, з подальшим наданням у користування цього каналу передачі даних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Організація каналу передачі даних на швидкості 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Мбіт/с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між будівлями в м. Києві та м. Боярка  за адресами: вул. Волинська,  26 – м. Боярка 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вул.Шевченка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178, з подальшим наданням у користування цього каналу передачі даних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/>
      <w:bookmarkStart w:id="0" w:name="_Hlk141713597"/>
      <w:r>
        <w:rPr>
          <w:rFonts w:ascii="Times New Roman" w:hAnsi="Times New Roman" w:cs="Times New Roman"/>
          <w:b/>
          <w:bCs/>
          <w:sz w:val="24"/>
          <w:szCs w:val="24"/>
        </w:rPr>
        <w:t xml:space="preserve">ТЕХНІЧНІ ВИМОГИ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tbl>
      <w:tblPr>
        <w:tblW w:w="5050" w:type="pct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66"/>
        <w:gridCol w:w="5635"/>
        <w:gridCol w:w="3522"/>
      </w:tblGrid>
      <w:tr>
        <w:trPr>
          <w:trHeight w:val="121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1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Адреса підключення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Швидкість</w:t>
            </w:r>
            <w:r/>
          </w:p>
        </w:tc>
      </w:tr>
      <w:tr>
        <w:trPr>
          <w:trHeight w:val="23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Київ, вул. Волинська 26 – м. Київ, вул. </w:t>
            </w:r>
            <w:bookmarkStart w:id="1" w:name="_Hlk143071705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Межигірська 8</w:t>
            </w:r>
            <w:bookmarkEnd w:id="1"/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Мбіт/с</w:t>
            </w:r>
            <w:r/>
          </w:p>
        </w:tc>
      </w:tr>
      <w:tr>
        <w:trPr>
          <w:trHeight w:val="23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212529"/>
                <w:spacing w:val="-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Київ, вул. Волинська 26 – м. Біла Церква, 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Водопільна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Мбіт/с </w:t>
            </w:r>
            <w:r/>
          </w:p>
        </w:tc>
      </w:tr>
      <w:tr>
        <w:trPr>
          <w:trHeight w:val="23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212529"/>
                <w:spacing w:val="-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Київ, вул. Волинська 26 – м. Боярка, вул. Шевченка 178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Мбіт/с </w:t>
            </w:r>
            <w:r/>
          </w:p>
        </w:tc>
      </w:tr>
    </w:tbl>
    <w:p>
      <w:pPr>
        <w:ind w:right="-79" w:firstLine="426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r>
      <w:r/>
    </w:p>
    <w:p>
      <w:pPr>
        <w:ind w:firstLine="426"/>
        <w:jc w:val="both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Кабель будується в приміщенні Замовника на легальній основі і залишається на балансі Оператора. Сервісна підтримка каналів зв’язку працює за системою 24/7/365 у вихідні та святкові дні.</w:t>
      </w:r>
      <w:r/>
    </w:p>
    <w:p>
      <w:pPr>
        <w:ind w:right="-79" w:firstLine="426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/>
    </w:p>
    <w:tbl>
      <w:tblPr>
        <w:tblStyle w:val="715"/>
        <w:tblW w:w="9781" w:type="dxa"/>
        <w:tblInd w:w="-147" w:type="dxa"/>
        <w:tblCellMar>
          <w:left w:w="31" w:type="dxa"/>
          <w:top w:w="89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5948"/>
        <w:gridCol w:w="3265"/>
      </w:tblGrid>
      <w:tr>
        <w:trPr>
          <w:trHeight w:val="8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textDirection w:val="lrTb"/>
            <w:noWrap w:val="false"/>
          </w:tcPr>
          <w:p>
            <w:pPr>
              <w:ind w:left="56" w:right="33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з/ п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213" w:type="dxa"/>
            <w:vAlign w:val="center"/>
            <w:textDirection w:val="lrTb"/>
            <w:noWrap w:val="false"/>
          </w:tcPr>
          <w:p>
            <w:pPr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Найменування технічних параметрів </w:t>
            </w:r>
            <w:r/>
          </w:p>
        </w:tc>
      </w:tr>
      <w:tr>
        <w:trPr>
          <w:trHeight w:val="2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8" w:type="dxa"/>
            <w:textDirection w:val="lrTb"/>
            <w:noWrap w:val="false"/>
          </w:tcPr>
          <w:p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надання сервісу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24х7х365 </w:t>
            </w:r>
            <w:r/>
          </w:p>
        </w:tc>
      </w:tr>
      <w:tr>
        <w:trPr>
          <w:trHeight w:val="1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8" w:type="dxa"/>
            <w:textDirection w:val="lrTb"/>
            <w:noWrap w:val="false"/>
          </w:tcPr>
          <w:p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роботи служби експлуатації Оператора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24х7х365 </w:t>
            </w:r>
            <w:r/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8" w:type="dxa"/>
            <w:textDirection w:val="lrTb"/>
            <w:noWrap w:val="false"/>
          </w:tcPr>
          <w:p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Максимальний час для аварійної недоступності послуг (надалі – «АНП»)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24 годин </w:t>
            </w:r>
            <w:r/>
          </w:p>
        </w:tc>
      </w:tr>
      <w:tr>
        <w:trPr>
          <w:trHeight w:val="3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8" w:type="dxa"/>
            <w:textDirection w:val="lrTb"/>
            <w:noWrap w:val="false"/>
          </w:tcPr>
          <w:p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Повідомлення про проведення запланованої недоступності послуг (наділ – «ЗНП») за робочих днів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/>
          </w:p>
        </w:tc>
      </w:tr>
      <w:tr>
        <w:trPr>
          <w:trHeight w:val="1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8" w:type="dxa"/>
            <w:textDirection w:val="lrTb"/>
            <w:noWrap w:val="false"/>
          </w:tcPr>
          <w:p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Проміжок часу для проведення ЗНП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23:00-08:00 </w:t>
            </w:r>
            <w:r/>
          </w:p>
        </w:tc>
      </w:tr>
      <w:tr>
        <w:trPr>
          <w:trHeight w:val="1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8" w:type="dxa"/>
            <w:textDirection w:val="lrTb"/>
            <w:noWrap w:val="false"/>
          </w:tcPr>
          <w:p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Загальний час проведення ЗНП, не більше на  місяць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год. </w:t>
            </w:r>
            <w:r/>
          </w:p>
        </w:tc>
      </w:tr>
      <w:tr>
        <w:trPr>
          <w:trHeight w:val="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8" w:type="dxa"/>
            <w:textDirection w:val="lrTb"/>
            <w:noWrap w:val="false"/>
          </w:tcPr>
          <w:p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Загальна тривалість ЗНП, не більше на рік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 год. </w:t>
            </w:r>
            <w:r/>
          </w:p>
        </w:tc>
      </w:tr>
      <w:tr>
        <w:trPr>
          <w:trHeight w:val="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8" w:type="dxa"/>
            <w:textDirection w:val="lrTb"/>
            <w:noWrap w:val="false"/>
          </w:tcPr>
          <w:p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Наявність виділення окремого телефонного номеру для підтримки сервісу SLA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Ні </w:t>
            </w:r>
            <w:r/>
          </w:p>
        </w:tc>
      </w:tr>
      <w:tr>
        <w:trPr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8" w:type="dxa"/>
            <w:textDirection w:val="lrTb"/>
            <w:noWrap w:val="false"/>
          </w:tcPr>
          <w:p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Пріоритезація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вхідних дзвінків за виділеним номером для підтримки сервісу SLA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Ні </w:t>
            </w:r>
            <w:r/>
          </w:p>
        </w:tc>
      </w:tr>
      <w:tr>
        <w:trPr>
          <w:trHeight w:val="3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8" w:type="dxa"/>
            <w:textDirection w:val="lrTb"/>
            <w:noWrap w:val="false"/>
          </w:tcPr>
          <w:p>
            <w:pPr>
              <w:ind w:left="77" w:righ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Наявність виділення персонального співробітника служби технічної підтримки для підтримки сервісу SLA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Ні </w:t>
            </w:r>
            <w:r/>
          </w:p>
        </w:tc>
      </w:tr>
      <w:tr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8" w:type="dxa"/>
            <w:textDirection w:val="lrTb"/>
            <w:noWrap w:val="false"/>
          </w:tcPr>
          <w:p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Реагування служби технічної підтримки на звернення Абонента, не пізніше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год. </w:t>
            </w:r>
            <w:r/>
          </w:p>
        </w:tc>
      </w:tr>
      <w:tr>
        <w:trPr>
          <w:trHeight w:val="4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8" w:type="dxa"/>
            <w:textDirection w:val="lrTb"/>
            <w:noWrap w:val="false"/>
          </w:tcPr>
          <w:p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Повідомлення щодо відновлення  доступності послуг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подією </w:t>
            </w:r>
            <w:r/>
          </w:p>
        </w:tc>
      </w:tr>
    </w:tbl>
    <w:p>
      <w:pPr>
        <w:ind w:right="-79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r>
      <w:r/>
    </w:p>
    <w:p>
      <w:pPr>
        <w:pStyle w:val="716"/>
        <w:ind w:firstLine="567"/>
        <w:jc w:val="both"/>
        <w:spacing w:before="0" w:beforeAutospacing="0" w:after="0" w:afterAutospacing="0"/>
        <w:shd w:val="clear" w:color="auto" w:fill="ffffff"/>
        <w:rPr>
          <w:lang w:val="uk-UA"/>
        </w:rPr>
      </w:pPr>
      <w:r>
        <w:rPr>
          <w:lang w:val="uk-UA"/>
        </w:rPr>
        <w:t xml:space="preserve">1. Обсяг надання послуги:</w:t>
      </w:r>
      <w:r/>
    </w:p>
    <w:p>
      <w:pPr>
        <w:pStyle w:val="692"/>
        <w:numPr>
          <w:ilvl w:val="0"/>
          <w:numId w:val="21"/>
        </w:numPr>
        <w:ind w:left="0"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організація каналу передачі даних на швидкості 5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Мбіт/с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між будівлями в м. Києві за адресами: вул. Волинська,  26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вул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Межигірська 8,</w:t>
      </w:r>
      <w:r>
        <w:rPr>
          <w:rFonts w:ascii="Times New Roman" w:hAnsi="Times New Roman" w:cs="Times New Roman"/>
          <w:sz w:val="24"/>
          <w:szCs w:val="24"/>
        </w:rPr>
        <w:t xml:space="preserve"> з </w:t>
      </w:r>
      <w:r>
        <w:rPr>
          <w:rFonts w:ascii="Times New Roman" w:hAnsi="Times New Roman" w:cs="Times New Roman"/>
          <w:sz w:val="24"/>
          <w:szCs w:val="24"/>
        </w:rPr>
        <w:t xml:space="preserve">подальш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наданням у користування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цього </w:t>
      </w:r>
      <w:r>
        <w:rPr>
          <w:rFonts w:ascii="Times New Roman" w:hAnsi="Times New Roman" w:cs="Times New Roman"/>
          <w:sz w:val="24"/>
          <w:szCs w:val="24"/>
        </w:rPr>
        <w:t xml:space="preserve">каналу передач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даних;</w:t>
      </w:r>
      <w:r/>
    </w:p>
    <w:p>
      <w:pPr>
        <w:pStyle w:val="692"/>
        <w:numPr>
          <w:ilvl w:val="0"/>
          <w:numId w:val="21"/>
        </w:numPr>
        <w:ind w:left="0"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організація каналу передачі даних на швидкості 5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Мбіт/с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між будівлями в м. Києві та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м.Біла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Церква за адресами: вул. Волинська,  26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м. Біла Церква, вул.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Водопільна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40,</w:t>
      </w:r>
      <w:r>
        <w:rPr>
          <w:rFonts w:ascii="Times New Roman" w:hAnsi="Times New Roman" w:cs="Times New Roman"/>
          <w:sz w:val="24"/>
          <w:szCs w:val="24"/>
        </w:rPr>
        <w:t xml:space="preserve"> з </w:t>
      </w:r>
      <w:r>
        <w:rPr>
          <w:rFonts w:ascii="Times New Roman" w:hAnsi="Times New Roman" w:cs="Times New Roman"/>
          <w:sz w:val="24"/>
          <w:szCs w:val="24"/>
        </w:rPr>
        <w:t xml:space="preserve">подальш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наданням у користування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цього </w:t>
      </w:r>
      <w:r>
        <w:rPr>
          <w:rFonts w:ascii="Times New Roman" w:hAnsi="Times New Roman" w:cs="Times New Roman"/>
          <w:sz w:val="24"/>
          <w:szCs w:val="24"/>
        </w:rPr>
        <w:t xml:space="preserve">каналу передач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даних;</w:t>
      </w:r>
      <w:r/>
    </w:p>
    <w:p>
      <w:pPr>
        <w:pStyle w:val="692"/>
        <w:numPr>
          <w:ilvl w:val="0"/>
          <w:numId w:val="21"/>
        </w:numPr>
        <w:ind w:left="0"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організація каналу передачі даних на швидкості 5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Мбіт/с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між будівлями в м. Києві та м. Боярка  за адресами: вул. Волинська,  26 </w:t>
      </w:r>
      <w:r>
        <w:rPr>
          <w:rFonts w:ascii="Times New Roman" w:hAnsi="Times New Roman" w:cs="Times New Roman"/>
          <w:sz w:val="24"/>
          <w:szCs w:val="24"/>
        </w:rPr>
        <w:t xml:space="preserve">– м. Боярка 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вул.Шевченка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178,</w:t>
      </w:r>
      <w:r>
        <w:rPr>
          <w:rFonts w:ascii="Times New Roman" w:hAnsi="Times New Roman" w:cs="Times New Roman"/>
          <w:sz w:val="24"/>
          <w:szCs w:val="24"/>
        </w:rPr>
        <w:t xml:space="preserve"> з </w:t>
      </w:r>
      <w:r>
        <w:rPr>
          <w:rFonts w:ascii="Times New Roman" w:hAnsi="Times New Roman" w:cs="Times New Roman"/>
          <w:sz w:val="24"/>
          <w:szCs w:val="24"/>
        </w:rPr>
        <w:t xml:space="preserve">подальш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наданням у користування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цього </w:t>
      </w:r>
      <w:r>
        <w:rPr>
          <w:rFonts w:ascii="Times New Roman" w:hAnsi="Times New Roman" w:cs="Times New Roman"/>
          <w:sz w:val="24"/>
          <w:szCs w:val="24"/>
        </w:rPr>
        <w:t xml:space="preserve">каналу передач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даних;</w:t>
      </w:r>
      <w:r/>
    </w:p>
    <w:p>
      <w:pPr>
        <w:pStyle w:val="692"/>
        <w:numPr>
          <w:ilvl w:val="0"/>
          <w:numId w:val="21"/>
        </w:numPr>
        <w:ind w:left="0"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цілодобова доступність  каналів передачі даних для користування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;</w:t>
      </w:r>
      <w:r/>
    </w:p>
    <w:p>
      <w:pPr>
        <w:pStyle w:val="692"/>
        <w:numPr>
          <w:ilvl w:val="0"/>
          <w:numId w:val="21"/>
        </w:numPr>
        <w:ind w:left="0" w:firstLine="567"/>
        <w:jc w:val="both"/>
        <w:spacing w:after="0" w:line="240" w:lineRule="auto"/>
        <w:tabs>
          <w:tab w:val="left" w:pos="567" w:leader="none"/>
          <w:tab w:val="left" w:pos="851" w:leader="none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цілодобова технічна підтримка користувачів щодо користування каналами передачі даних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;</w:t>
      </w:r>
      <w:r/>
    </w:p>
    <w:p>
      <w:pPr>
        <w:pStyle w:val="692"/>
        <w:numPr>
          <w:ilvl w:val="0"/>
          <w:numId w:val="21"/>
        </w:numPr>
        <w:ind w:left="0"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оперативне усунення технічних проблем зі сторони Виконавця, що призводять до неможливості надання послуги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Послуга надається з метою організації каналу передачі даних між окремо розташованими будівлями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 повинен виконати підключення у відповідності до всіх означених технічних вимогу не пізніше 3 (трьох)  днів з дати укладення Договору.</w:t>
      </w:r>
      <w:r/>
    </w:p>
    <w:p>
      <w:pPr>
        <w:numPr>
          <w:ilvl w:val="0"/>
          <w:numId w:val="22"/>
        </w:numPr>
        <w:ind w:left="0" w:firstLine="567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 повинен мати сертифікат відповідності системи управління інформаційною безпекою оператора міжнародному стандарту ISO 27001 (надати скановану копію сертифікату).</w:t>
      </w:r>
      <w:r/>
    </w:p>
    <w:p>
      <w:pPr>
        <w:numPr>
          <w:ilvl w:val="0"/>
          <w:numId w:val="22"/>
        </w:numPr>
        <w:ind w:left="0" w:firstLine="567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 має бути доданий до переліку операторів Національної системи конфіденційного зв’язку (НСКЗ) (надати завірені копії підтверджуючих документів).</w:t>
      </w:r>
      <w:r/>
    </w:p>
    <w:p>
      <w:pPr>
        <w:numPr>
          <w:ilvl w:val="0"/>
          <w:numId w:val="22"/>
        </w:numPr>
        <w:ind w:left="0" w:firstLine="567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Надати у складі тендерної п</w:t>
      </w:r>
      <w:r>
        <w:rPr>
          <w:rFonts w:ascii="Times New Roman" w:hAnsi="Times New Roman" w:cs="Times New Roman"/>
          <w:sz w:val="24"/>
          <w:szCs w:val="24"/>
        </w:rPr>
        <w:t xml:space="preserve">ропозиції завірені копії Наказу та Повідомлення про включення Учасника до Переліку операторів НСКЗ, які мають право надавати наступні види діяльності: надання в користування цифрових каналів зв’язку та надання послуг захищеного доступу до мережі Інтернет.»</w:t>
      </w:r>
      <w:r/>
    </w:p>
    <w:p>
      <w:pPr>
        <w:numPr>
          <w:ilvl w:val="0"/>
          <w:numId w:val="22"/>
        </w:numPr>
        <w:ind w:left="0" w:firstLine="567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 має забезпечити підтримку на період дії Договору надання послуг протягом 24 годин на добу 7 днів на тиждень (надати гарантійний лист довільної форми). </w:t>
      </w:r>
      <w:r/>
    </w:p>
    <w:p>
      <w:pPr>
        <w:numPr>
          <w:ilvl w:val="0"/>
          <w:numId w:val="22"/>
        </w:numPr>
        <w:ind w:left="0" w:firstLine="567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 повинен мати цілодобову службу технічної підтримки (надати гарантійний лист довільної форми).</w:t>
      </w:r>
      <w:r/>
    </w:p>
    <w:p>
      <w:pPr>
        <w:pStyle w:val="692"/>
        <w:numPr>
          <w:ilvl w:val="0"/>
          <w:numId w:val="22"/>
        </w:numPr>
        <w:ind w:left="0"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Виконавець повинен мати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власний Центр технічної підтримки, що працює в режимі 24х7х365 (цілодобово (00:00-24:00) з понеділка по неділю включно, 365 днів на рік) з можливістю звернення по телефону або через веб-сайт, або електронну пошту) (надати гарантійний лист довільної форми).</w:t>
      </w:r>
      <w:r/>
    </w:p>
    <w:p>
      <w:pPr>
        <w:ind w:right="-7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</w:r>
      <w:r/>
    </w:p>
    <w:p>
      <w:pPr>
        <w:ind w:right="-79" w:firstLine="426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Технічні параметри каналу зв’язку:</w:t>
      </w:r>
      <w:r/>
    </w:p>
    <w:p>
      <w:pPr>
        <w:ind w:right="-79" w:firstLine="426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5000" w:type="pct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165"/>
        <w:gridCol w:w="5462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66" w:type="dxa"/>
            <w:vAlign w:val="center"/>
            <w:textDirection w:val="lrTb"/>
            <w:noWrap w:val="false"/>
          </w:tcPr>
          <w:p>
            <w:pPr>
              <w:ind w:firstLine="426"/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каналу зв’язку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63" w:type="dxa"/>
            <w:textDirection w:val="lrTb"/>
            <w:noWrap w:val="false"/>
          </w:tcPr>
          <w:p>
            <w:pPr>
              <w:ind w:firstLine="426"/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Параметри каналу зв’язку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66" w:type="dxa"/>
            <w:vAlign w:val="center"/>
            <w:textDirection w:val="lrTb"/>
            <w:noWrap w:val="false"/>
          </w:tcPr>
          <w:p>
            <w:pPr>
              <w:ind w:firstLine="426"/>
              <w:spacing w:after="0" w:line="240" w:lineRule="auto"/>
              <w:tabs>
                <w:tab w:val="left" w:pos="702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Швидкість передавання даних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63" w:type="dxa"/>
            <w:textDirection w:val="lrTb"/>
            <w:noWrap w:val="false"/>
          </w:tcPr>
          <w:p>
            <w:pPr>
              <w:ind w:firstLine="426"/>
              <w:jc w:val="center"/>
              <w:spacing w:after="0" w:line="240" w:lineRule="auto"/>
              <w:tabs>
                <w:tab w:val="left" w:pos="702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Мбіт/с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66" w:type="dxa"/>
            <w:vAlign w:val="center"/>
            <w:textDirection w:val="lrTb"/>
            <w:noWrap w:val="false"/>
          </w:tcPr>
          <w:p>
            <w:pPr>
              <w:ind w:firstLine="426"/>
              <w:spacing w:after="0" w:line="240" w:lineRule="auto"/>
              <w:tabs>
                <w:tab w:val="left" w:pos="702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Спосіб надання послуги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63" w:type="dxa"/>
            <w:textDirection w:val="lrTb"/>
            <w:noWrap w:val="false"/>
          </w:tcPr>
          <w:p>
            <w:pPr>
              <w:ind w:firstLine="426"/>
              <w:jc w:val="center"/>
              <w:spacing w:after="0" w:line="240" w:lineRule="auto"/>
              <w:tabs>
                <w:tab w:val="left" w:pos="702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Окремий фізичний порт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Ethernet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стороні Замовника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66" w:type="dxa"/>
            <w:vAlign w:val="center"/>
            <w:textDirection w:val="lrTb"/>
            <w:noWrap w:val="false"/>
          </w:tcPr>
          <w:p>
            <w:pPr>
              <w:ind w:firstLine="426"/>
              <w:spacing w:after="0" w:line="240" w:lineRule="auto"/>
              <w:tabs>
                <w:tab w:val="left" w:pos="702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каналу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63" w:type="dxa"/>
            <w:textDirection w:val="lrTb"/>
            <w:noWrap w:val="false"/>
          </w:tcPr>
          <w:p>
            <w:pPr>
              <w:ind w:firstLine="426"/>
              <w:jc w:val="center"/>
              <w:spacing w:after="0" w:line="240" w:lineRule="auto"/>
              <w:tabs>
                <w:tab w:val="left" w:pos="702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Оптичний канал</w:t>
            </w:r>
            <w:r/>
          </w:p>
        </w:tc>
      </w:tr>
      <w:tr>
        <w:trPr>
          <w:trHeight w:val="16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66" w:type="dxa"/>
            <w:vAlign w:val="center"/>
            <w:textDirection w:val="lrTb"/>
            <w:noWrap w:val="false"/>
          </w:tcPr>
          <w:p>
            <w:pPr>
              <w:ind w:firstLine="426"/>
              <w:spacing w:after="0" w:line="240" w:lineRule="auto"/>
              <w:tabs>
                <w:tab w:val="left" w:pos="702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Доступність послуги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63" w:type="dxa"/>
            <w:vAlign w:val="center"/>
            <w:textDirection w:val="lrTb"/>
            <w:noWrap w:val="false"/>
          </w:tcPr>
          <w:p>
            <w:pPr>
              <w:ind w:firstLine="426"/>
              <w:jc w:val="center"/>
              <w:spacing w:after="0" w:line="240" w:lineRule="auto"/>
              <w:tabs>
                <w:tab w:val="left" w:pos="702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99,5%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66" w:type="dxa"/>
            <w:vAlign w:val="center"/>
            <w:textDirection w:val="lrTb"/>
            <w:noWrap w:val="false"/>
          </w:tcPr>
          <w:p>
            <w:pPr>
              <w:ind w:firstLine="426"/>
              <w:spacing w:after="0" w:line="240" w:lineRule="auto"/>
              <w:tabs>
                <w:tab w:val="left" w:pos="702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роботи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63" w:type="dxa"/>
            <w:vAlign w:val="center"/>
            <w:textDirection w:val="lrTb"/>
            <w:noWrap w:val="false"/>
          </w:tcPr>
          <w:p>
            <w:pPr>
              <w:ind w:firstLine="426"/>
              <w:jc w:val="center"/>
              <w:spacing w:after="0" w:line="240" w:lineRule="auto"/>
              <w:tabs>
                <w:tab w:val="left" w:pos="702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цілодобово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66" w:type="dxa"/>
            <w:vAlign w:val="center"/>
            <w:textDirection w:val="lrTb"/>
            <w:noWrap w:val="false"/>
          </w:tcPr>
          <w:p>
            <w:pPr>
              <w:ind w:firstLine="426"/>
              <w:spacing w:after="0" w:line="240" w:lineRule="auto"/>
              <w:tabs>
                <w:tab w:val="left" w:pos="702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Затримка в каналі зв’язку (в один бік)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63" w:type="dxa"/>
            <w:vAlign w:val="center"/>
            <w:textDirection w:val="lrTb"/>
            <w:noWrap w:val="false"/>
          </w:tcPr>
          <w:p>
            <w:pPr>
              <w:ind w:firstLine="426"/>
              <w:jc w:val="center"/>
              <w:spacing w:after="0" w:line="240" w:lineRule="auto"/>
              <w:tabs>
                <w:tab w:val="left" w:pos="7020" w:leader="none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10-15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ms</w:t>
            </w:r>
            <w:bookmarkEnd w:id="0"/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39 000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тридцять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дев’ять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тисяч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8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8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67" w:hanging="207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5321" w:hanging="360"/>
      </w:pPr>
      <w:rPr>
        <w:rFonts w:hint="default" w:ascii="Times New Roman" w:hAnsi="Times New Roman" w:cs="Times New Roman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67" w:hanging="207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6"/>
  </w:num>
  <w:num w:numId="2">
    <w:abstractNumId w:val="11"/>
  </w:num>
  <w:num w:numId="3">
    <w:abstractNumId w:val="5"/>
  </w:num>
  <w:num w:numId="4">
    <w:abstractNumId w:val="13"/>
  </w:num>
  <w:num w:numId="5">
    <w:abstractNumId w:val="4"/>
  </w:num>
  <w:num w:numId="6">
    <w:abstractNumId w:val="17"/>
  </w:num>
  <w:num w:numId="7">
    <w:abstractNumId w:val="7"/>
  </w:num>
  <w:num w:numId="8">
    <w:abstractNumId w:val="19"/>
  </w:num>
  <w:num w:numId="9">
    <w:abstractNumId w:val="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 w:numId="13">
    <w:abstractNumId w:val="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8"/>
  </w:num>
  <w:num w:numId="17">
    <w:abstractNumId w:val="0"/>
  </w:num>
  <w:num w:numId="18">
    <w:abstractNumId w:val="20"/>
  </w:num>
  <w:num w:numId="19">
    <w:abstractNumId w:val="14"/>
  </w:num>
  <w:num w:numId="20">
    <w:abstractNumId w:val="9"/>
  </w:num>
  <w:num w:numId="21">
    <w:abstractNumId w:val="12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87"/>
    <w:next w:val="687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89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89"/>
    <w:link w:val="688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87"/>
    <w:next w:val="687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8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87"/>
    <w:next w:val="687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8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87"/>
    <w:next w:val="687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8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87"/>
    <w:next w:val="687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8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87"/>
    <w:next w:val="687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8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87"/>
    <w:next w:val="687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8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87"/>
    <w:next w:val="687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8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687"/>
    <w:next w:val="687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89"/>
    <w:link w:val="33"/>
    <w:uiPriority w:val="10"/>
    <w:rPr>
      <w:sz w:val="48"/>
      <w:szCs w:val="48"/>
    </w:rPr>
  </w:style>
  <w:style w:type="paragraph" w:styleId="35">
    <w:name w:val="Subtitle"/>
    <w:basedOn w:val="687"/>
    <w:next w:val="687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89"/>
    <w:link w:val="35"/>
    <w:uiPriority w:val="11"/>
    <w:rPr>
      <w:sz w:val="24"/>
      <w:szCs w:val="24"/>
    </w:rPr>
  </w:style>
  <w:style w:type="paragraph" w:styleId="37">
    <w:name w:val="Quote"/>
    <w:basedOn w:val="687"/>
    <w:next w:val="68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87"/>
    <w:next w:val="687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87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89"/>
    <w:link w:val="41"/>
    <w:uiPriority w:val="99"/>
  </w:style>
  <w:style w:type="character" w:styleId="44">
    <w:name w:val="Footer Char"/>
    <w:basedOn w:val="689"/>
    <w:link w:val="698"/>
    <w:uiPriority w:val="99"/>
  </w:style>
  <w:style w:type="paragraph" w:styleId="45">
    <w:name w:val="Caption"/>
    <w:basedOn w:val="687"/>
    <w:next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8"/>
    <w:uiPriority w:val="99"/>
  </w:style>
  <w:style w:type="table" w:styleId="48">
    <w:name w:val="Table Grid Light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8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89"/>
    <w:uiPriority w:val="99"/>
    <w:unhideWhenUsed/>
    <w:rPr>
      <w:vertAlign w:val="superscript"/>
    </w:rPr>
  </w:style>
  <w:style w:type="paragraph" w:styleId="177">
    <w:name w:val="endnote text"/>
    <w:basedOn w:val="68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89"/>
    <w:uiPriority w:val="99"/>
    <w:semiHidden/>
    <w:unhideWhenUsed/>
    <w:rPr>
      <w:vertAlign w:val="superscript"/>
    </w:rPr>
  </w:style>
  <w:style w:type="paragraph" w:styleId="180">
    <w:name w:val="toc 1"/>
    <w:basedOn w:val="687"/>
    <w:next w:val="68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87"/>
    <w:next w:val="68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87"/>
    <w:next w:val="68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87"/>
    <w:next w:val="68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87"/>
    <w:next w:val="68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87"/>
    <w:next w:val="68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87"/>
    <w:next w:val="68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87"/>
    <w:next w:val="68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87"/>
    <w:next w:val="687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87"/>
    <w:next w:val="687"/>
    <w:uiPriority w:val="99"/>
    <w:unhideWhenUsed/>
    <w:pPr>
      <w:spacing w:after="0" w:afterAutospacing="0"/>
    </w:pPr>
  </w:style>
  <w:style w:type="paragraph" w:styleId="687" w:default="1">
    <w:name w:val="Normal"/>
    <w:qFormat/>
    <w:rPr>
      <w:lang w:val="uk-UA"/>
    </w:rPr>
  </w:style>
  <w:style w:type="paragraph" w:styleId="688">
    <w:name w:val="Heading 2"/>
    <w:basedOn w:val="687"/>
    <w:link w:val="707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689" w:default="1">
    <w:name w:val="Default Paragraph Font"/>
    <w:uiPriority w:val="1"/>
    <w:semiHidden/>
    <w:unhideWhenUsed/>
  </w:style>
  <w:style w:type="table" w:styleId="6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1" w:default="1">
    <w:name w:val="No List"/>
    <w:uiPriority w:val="99"/>
    <w:semiHidden/>
    <w:unhideWhenUsed/>
  </w:style>
  <w:style w:type="paragraph" w:styleId="692">
    <w:name w:val="List Paragraph"/>
    <w:basedOn w:val="687"/>
    <w:link w:val="69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93" w:customStyle="1">
    <w:name w:val="Абзац списку Знак"/>
    <w:link w:val="692"/>
    <w:uiPriority w:val="34"/>
    <w:rPr>
      <w:rFonts w:ascii="Calibri" w:hAnsi="Calibri" w:eastAsia="Calibri" w:cs="Calibri"/>
      <w:lang w:eastAsia="zh-CN"/>
    </w:rPr>
  </w:style>
  <w:style w:type="table" w:styleId="694">
    <w:name w:val="Table Grid"/>
    <w:basedOn w:val="69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5" w:customStyle="1">
    <w:name w:val="Сетка таблицы2"/>
    <w:basedOn w:val="690"/>
    <w:next w:val="694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6">
    <w:name w:val="Normal (Web)"/>
    <w:basedOn w:val="687"/>
    <w:link w:val="703"/>
    <w:unhideWhenUsed/>
    <w:qFormat/>
    <w:rPr>
      <w:rFonts w:ascii="Times New Roman" w:hAnsi="Times New Roman" w:cs="Times New Roman"/>
      <w:sz w:val="24"/>
      <w:szCs w:val="24"/>
    </w:rPr>
  </w:style>
  <w:style w:type="table" w:styleId="697" w:customStyle="1">
    <w:name w:val="Сетка таблицы1"/>
    <w:basedOn w:val="690"/>
    <w:next w:val="694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8">
    <w:name w:val="Footer"/>
    <w:basedOn w:val="687"/>
    <w:link w:val="699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99" w:customStyle="1">
    <w:name w:val="Нижній колонтитул Знак"/>
    <w:basedOn w:val="689"/>
    <w:link w:val="698"/>
    <w:uiPriority w:val="99"/>
    <w:rPr>
      <w:rFonts w:ascii="Calibri" w:hAnsi="Calibri" w:eastAsia="Calibri" w:cs="Calibri"/>
      <w:lang w:eastAsia="zh-CN"/>
    </w:rPr>
  </w:style>
  <w:style w:type="paragraph" w:styleId="700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01">
    <w:name w:val="Hyperlink"/>
    <w:basedOn w:val="689"/>
    <w:uiPriority w:val="99"/>
    <w:unhideWhenUsed/>
    <w:rPr>
      <w:color w:val="0563c1" w:themeColor="hyperlink"/>
      <w:u w:val="single"/>
    </w:rPr>
  </w:style>
  <w:style w:type="character" w:styleId="702" w:customStyle="1">
    <w:name w:val="xfm_93972720"/>
    <w:basedOn w:val="689"/>
  </w:style>
  <w:style w:type="character" w:styleId="703" w:customStyle="1">
    <w:name w:val="Звичайний (веб) Знак"/>
    <w:link w:val="696"/>
    <w:qFormat/>
    <w:rPr>
      <w:rFonts w:ascii="Times New Roman" w:hAnsi="Times New Roman" w:cs="Times New Roman"/>
      <w:sz w:val="24"/>
      <w:szCs w:val="24"/>
      <w:lang w:val="uk-UA"/>
    </w:rPr>
  </w:style>
  <w:style w:type="paragraph" w:styleId="704">
    <w:name w:val="Body Text 2"/>
    <w:basedOn w:val="687"/>
    <w:link w:val="705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05" w:customStyle="1">
    <w:name w:val="Основний текст 2 Знак"/>
    <w:basedOn w:val="689"/>
    <w:link w:val="704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06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07" w:customStyle="1">
    <w:name w:val="Заголовок 2 Знак"/>
    <w:basedOn w:val="689"/>
    <w:link w:val="688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08">
    <w:name w:val="No Spacing"/>
    <w:link w:val="709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09" w:customStyle="1">
    <w:name w:val="Без інтервалів Знак"/>
    <w:basedOn w:val="689"/>
    <w:link w:val="708"/>
    <w:uiPriority w:val="1"/>
    <w:rPr>
      <w:rFonts w:ascii="Calibri" w:hAnsi="Calibri" w:eastAsia="Calibri" w:cs="Times New Roman"/>
      <w:lang w:val="uk-UA"/>
    </w:rPr>
  </w:style>
  <w:style w:type="character" w:styleId="710" w:customStyle="1">
    <w:name w:val="Другое_"/>
    <w:basedOn w:val="689"/>
    <w:link w:val="711"/>
    <w:rPr>
      <w:rFonts w:ascii="Calibri" w:hAnsi="Calibri" w:eastAsia="Calibri" w:cs="Calibri"/>
      <w:sz w:val="20"/>
      <w:szCs w:val="20"/>
    </w:rPr>
  </w:style>
  <w:style w:type="paragraph" w:styleId="711" w:customStyle="1">
    <w:name w:val="Другое"/>
    <w:basedOn w:val="687"/>
    <w:link w:val="710"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12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13" w:customStyle="1">
    <w:name w:val="Основной текст (2)_"/>
    <w:basedOn w:val="689"/>
    <w:link w:val="714"/>
    <w:rPr>
      <w:rFonts w:eastAsia="Times New Roman" w:cs="Times New Roman"/>
      <w:shd w:val="clear" w:color="auto" w:fill="ffffff"/>
    </w:rPr>
  </w:style>
  <w:style w:type="paragraph" w:styleId="714" w:customStyle="1">
    <w:name w:val="Основной текст (2)"/>
    <w:basedOn w:val="687"/>
    <w:link w:val="713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table" w:styleId="715" w:customStyle="1">
    <w:name w:val="Сітка таблиці1"/>
    <w:pPr>
      <w:spacing w:after="0" w:line="240" w:lineRule="auto"/>
    </w:pPr>
    <w:rPr>
      <w:rFonts w:eastAsiaTheme="minorEastAsia"/>
      <w:lang w:val="uk-UA"/>
    </w:r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716" w:customStyle="1">
    <w:name w:val="rvps6"/>
    <w:basedOn w:val="687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130</cp:revision>
  <dcterms:created xsi:type="dcterms:W3CDTF">2022-11-01T12:47:00Z</dcterms:created>
  <dcterms:modified xsi:type="dcterms:W3CDTF">2023-08-18T08:23:44Z</dcterms:modified>
</cp:coreProperties>
</file>