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автоматизованих робочих місць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0950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автоматизованих робочих місць за ДК 021:2015: 30210000-4 Машини для обробки даних (апаратна частина)</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rPr>
                <w:b/>
                <w:bCs/>
              </w:rPr>
            </w:pPr>
            <w:r>
              <w:rPr>
                <w:b/>
                <w:bCs/>
              </w:rPr>
              <w:t xml:space="preserve">1</w:t>
            </w:r>
            <w:r/>
          </w:p>
        </w:tc>
        <w:tc>
          <w:tcPr>
            <w:tcW w:w="5670" w:type="dxa"/>
            <w:vAlign w:val="center"/>
            <w:textDirection w:val="lrTb"/>
            <w:noWrap w:val="false"/>
          </w:tcPr>
          <w:p>
            <w:pPr>
              <w:pStyle w:val="740"/>
              <w:rPr>
                <w:b/>
                <w:bCs/>
              </w:rPr>
            </w:pPr>
            <w:r>
              <w:rPr>
                <w:b/>
                <w:lang w:val="ru-RU"/>
              </w:rPr>
              <w:t xml:space="preserve">Автоматизоване робоче місце №4</w:t>
            </w:r>
            <w:r/>
          </w:p>
        </w:tc>
        <w:tc>
          <w:tcPr>
            <w:tcW w:w="1701" w:type="dxa"/>
            <w:vAlign w:val="center"/>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86</w:t>
            </w:r>
            <w:r/>
          </w:p>
        </w:tc>
      </w:tr>
    </w:tbl>
    <w:p>
      <w:pPr>
        <w:pStyle w:val="740"/>
        <w:jc w:val="both"/>
        <w:spacing w:after="0" w:line="240" w:lineRule="auto"/>
        <w:rPr>
          <w:b/>
          <w:bCs/>
          <w:i/>
          <w:iCs/>
          <w:lang w:eastAsia="ru-RU"/>
        </w:rPr>
      </w:pPr>
      <w:r>
        <w:rPr>
          <w:b/>
          <w:bCs/>
          <w:i/>
          <w:iCs/>
          <w:lang w:eastAsia="ru-RU"/>
        </w:rPr>
      </w:r>
      <w:r/>
    </w:p>
    <w:p>
      <w:pPr>
        <w:pStyle w:val="74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pStyle w:val="740"/>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52"/>
        <w:jc w:val="both"/>
        <w:rPr>
          <w:rStyle w:val="762"/>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bookmarkEnd w:id="0"/>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tbl>
      <w:tblPr>
        <w:tblW w:w="1042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3"/>
        <w:gridCol w:w="2168"/>
        <w:gridCol w:w="1797"/>
        <w:gridCol w:w="4888"/>
        <w:gridCol w:w="865"/>
      </w:tblGrid>
      <w:tr>
        <w:trPr>
          <w:trHeight w:val="690"/>
        </w:trPr>
        <w:tc>
          <w:tcPr>
            <w:shd w:val="clear" w:color="auto" w:fill="auto"/>
            <w:tcW w:w="703"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п/п</w:t>
            </w:r>
            <w:r/>
          </w:p>
        </w:tc>
        <w:tc>
          <w:tcPr>
            <w:shd w:val="clear" w:color="auto" w:fill="auto"/>
            <w:tcW w:w="216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 закупівлі</w:t>
            </w:r>
            <w:r/>
          </w:p>
        </w:tc>
        <w:tc>
          <w:tcPr>
            <w:gridSpan w:val="2"/>
            <w:shd w:val="clear" w:color="auto" w:fill="auto"/>
            <w:tcW w:w="6685"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Технічні характеристики предмету закупівлі</w:t>
            </w:r>
            <w:r/>
          </w:p>
        </w:tc>
        <w:tc>
          <w:tcPr>
            <w:shd w:val="clear" w:color="auto" w:fill="auto"/>
            <w:tcW w:w="865"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шт</w:t>
            </w:r>
            <w:r/>
          </w:p>
        </w:tc>
      </w:tr>
      <w:tr>
        <w:trPr>
          <w:trHeight w:val="117"/>
        </w:trPr>
        <w:tc>
          <w:tcPr>
            <w:shd w:val="clear" w:color="auto" w:fill="auto"/>
            <w:tcW w:w="703"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auto"/>
            <w:tcW w:w="2168"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Автоматизоване робоче  місце № 4 </w:t>
            </w:r>
            <w:r>
              <w:rPr>
                <w:rFonts w:ascii="Times New Roman" w:hAnsi="Times New Roman" w:cs="Times New Roman"/>
                <w:i/>
                <w:iCs/>
                <w:color w:val="000000"/>
                <w:sz w:val="24"/>
                <w:szCs w:val="24"/>
              </w:rPr>
              <w:t xml:space="preserve">у комплекті:</w:t>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Системний блок (ПЕОМ)</w:t>
            </w:r>
            <w:r/>
          </w:p>
        </w:tc>
        <w:tc>
          <w:tcPr>
            <w:shd w:val="clear" w:color="auto" w:fill="auto"/>
            <w:tcW w:w="865"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86</w:t>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ядер: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Mб</w:t>
            </w:r>
            <w:r>
              <w:rPr>
                <w:rFonts w:ascii="Times New Roman" w:hAnsi="Times New Roman" w:cs="Times New Roman"/>
                <w:color w:val="000000"/>
                <w:sz w:val="24"/>
                <w:szCs w:val="24"/>
              </w:rPr>
              <w:br/>
              <w:t xml:space="preserve">Базова тактова частота процесора: не менше 2,50 ГГц</w:t>
            </w:r>
            <w:r>
              <w:rPr>
                <w:rFonts w:ascii="Times New Roman" w:hAnsi="Times New Roman" w:cs="Times New Roman"/>
                <w:color w:val="000000"/>
                <w:sz w:val="24"/>
                <w:szCs w:val="24"/>
              </w:rPr>
              <w:br/>
              <w:t xml:space="preserve">Максимальна тактова частота у режимі Turbo Boost: не менше 4,40 ГГц</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з системою охолодження</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91"/>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shd w:val="clear" w:color="auto" w:fill="auto"/>
            <w:tcW w:w="4888"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32 Гб DDR4 3200 МГц (двохканальний режим)</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7"/>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500 Гб m.2 NVMe</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1"/>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shd w:val="clear" w:color="auto" w:fill="auto"/>
            <w:tcW w:w="4888"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w:t>
            </w:r>
            <w:r/>
          </w:p>
        </w:tc>
        <w:tc>
          <w:tcPr>
            <w:shd w:val="clear" w:color="auto" w:fill="auto"/>
            <w:tcW w:w="4888" w:type="dxa"/>
            <w:vAlign w:val="bottom"/>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(не менше, без застосування зовнішніх перехідників та розгалуджувачів): </w:t>
            </w:r>
            <w:r>
              <w:rPr>
                <w:rFonts w:ascii="Times New Roman" w:hAnsi="Times New Roman" w:cs="Times New Roman"/>
                <w:color w:val="000000"/>
                <w:sz w:val="24"/>
                <w:szCs w:val="24"/>
              </w:rPr>
              <w:br/>
              <w:t xml:space="preserve">1 порт DP</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порти HDMI</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порт RJ-45</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портів USB Type A на задній панелі (з них не менше двох USB 3.2 Gen 2)</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порти USB Type A на передній панелі (з них не менше одного USB 3.2 Gen 1)</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порт USB Type C на передній панелі</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Аудіо порти на задній панелі, 2 Аудіо порти на передній панелі</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Wi-Fi 6 (802.11ax), Bluetooth 5.2</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w:t>
            </w:r>
            <w:r/>
          </w:p>
        </w:tc>
        <w:tc>
          <w:tcPr>
            <w:shd w:val="clear" w:color="auto" w:fill="auto"/>
            <w:tcW w:w="4888"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Pro 64-bit (українська редакція) з обов’язковою підтримкою інтеграції зі службою каталогів Active Directory. У разі, якщо операційна система пр</w:t>
            </w:r>
            <w:r>
              <w:rPr>
                <w:rFonts w:ascii="Times New Roman" w:hAnsi="Times New Roman" w:cs="Times New Roman"/>
                <w:color w:val="000000"/>
                <w:sz w:val="24"/>
                <w:szCs w:val="24"/>
              </w:rPr>
              <w:t xml:space="preserve">еінстальована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w:t>
            </w:r>
            <w:r>
              <w:rPr>
                <w:rFonts w:ascii="Times New Roman" w:hAnsi="Times New Roman" w:cs="Times New Roman"/>
                <w:color w:val="000000"/>
                <w:sz w:val="24"/>
                <w:szCs w:val="24"/>
              </w:rPr>
              <w:t xml:space="preserve">У разі, якщо операційна система преінстальована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w:t>
            </w:r>
            <w:r>
              <w:rPr>
                <w:rFonts w:ascii="Times New Roman" w:hAnsi="Times New Roman" w:cs="Times New Roman"/>
                <w:color w:val="000000"/>
                <w:sz w:val="24"/>
                <w:szCs w:val="24"/>
              </w:rPr>
              <w:t xml:space="preserve">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w:t>
            </w:r>
            <w:r>
              <w:rPr>
                <w:rFonts w:ascii="Times New Roman" w:hAnsi="Times New Roman" w:cs="Times New Roman"/>
                <w:color w:val="000000"/>
                <w:sz w:val="24"/>
                <w:szCs w:val="24"/>
              </w:rPr>
              <w:t xml:space="preserve">йних дистрибуторів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w:t>
            </w:r>
            <w:r>
              <w:rPr>
                <w:rFonts w:ascii="Times New Roman" w:hAnsi="Times New Roman" w:cs="Times New Roman"/>
                <w:color w:val="000000"/>
                <w:sz w:val="24"/>
                <w:szCs w:val="24"/>
              </w:rPr>
              <w:t xml:space="preserve">я обладнання переможцем) дистрибутор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w:t>
            </w:r>
            <w:r>
              <w:rPr>
                <w:rFonts w:ascii="Times New Roman" w:hAnsi="Times New Roman" w:cs="Times New Roman"/>
                <w:color w:val="000000"/>
                <w:sz w:val="24"/>
                <w:szCs w:val="24"/>
              </w:rPr>
              <w:t xml:space="preserve">Microsoft в Україні. Активація проводиться Замовником.</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shd w:val="clear" w:color="auto" w:fill="auto"/>
            <w:tcW w:w="4888"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600 Вт, вентилятор блоку живлення не менше 120 мм</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менше ніж 1-го слоту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блоку</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Pr>
                <w:rFonts w:ascii="Times New Roman" w:hAnsi="Times New Roman" w:cs="Times New Roman"/>
                <w:color w:val="000000"/>
                <w:sz w:val="24"/>
                <w:szCs w:val="24"/>
              </w:rPr>
              <w:br/>
              <w:t xml:space="preserve">Матеріал корпусу: сталь</w:t>
            </w:r>
            <w:r>
              <w:rPr>
                <w:rFonts w:ascii="Times New Roman" w:hAnsi="Times New Roman" w:cs="Times New Roman"/>
                <w:color w:val="000000"/>
                <w:sz w:val="24"/>
                <w:szCs w:val="24"/>
              </w:rPr>
              <w:br/>
              <w:t xml:space="preserve">Товщина стінок не менше ніж 0,6 мм</w:t>
            </w:r>
            <w:r>
              <w:rPr>
                <w:rFonts w:ascii="Times New Roman" w:hAnsi="Times New Roman" w:cs="Times New Roman"/>
                <w:color w:val="000000"/>
                <w:sz w:val="24"/>
                <w:szCs w:val="24"/>
              </w:rPr>
              <w:br/>
              <w:t xml:space="preserve">Наявність системи безпеки у вигляді датчика відкриття корпусу.</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клавіатура та миша</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від виробника системного блоку</w:t>
            </w:r>
            <w:r>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r>
            <w:r>
              <w:rPr>
                <w:rFonts w:ascii="Times New Roman" w:hAnsi="Times New Roman" w:cs="Times New Roman"/>
                <w:color w:val="000000"/>
                <w:sz w:val="24"/>
                <w:szCs w:val="24"/>
              </w:rPr>
              <w:br/>
              <w:t xml:space="preserve">Технологія миші – оптична; кількість кнопок - щонайменше 3: ліва, права, колесо-кнопка для скролінгу</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467"/>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ДБЖ</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Джерело безперебійного живлення з AVR</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 Лінійно-інтерактивна</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вихідного сигналу: Апроксимована (ступінчата) синусоїда</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 вихідна потужність, Ва: не менше 1550</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Ефективна вихідна потужність, Вт: не менше 900</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Діапазон вхідної напруги при роботі від мережі, В: Не вужче 170-280</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Робоча частота, Гц:</w:t>
            </w:r>
            <w:r>
              <w:rPr>
                <w:rFonts w:ascii="Times New Roman" w:hAnsi="Times New Roman" w:cs="Times New Roman"/>
                <w:color w:val="000000"/>
                <w:sz w:val="24"/>
                <w:szCs w:val="24"/>
              </w:rPr>
              <w:tab/>
              <w:t xml:space="preserve">50/60</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вбудованих розеток з батарейним резервуванням, шт:</w:t>
            </w:r>
            <w:r>
              <w:rPr>
                <w:rFonts w:ascii="Times New Roman" w:hAnsi="Times New Roman" w:cs="Times New Roman"/>
                <w:color w:val="000000"/>
                <w:sz w:val="24"/>
                <w:szCs w:val="24"/>
              </w:rPr>
              <w:tab/>
              <w:t xml:space="preserve">Не менше 4</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розеток:</w:t>
            </w:r>
            <w:r>
              <w:rPr>
                <w:rFonts w:ascii="Times New Roman" w:hAnsi="Times New Roman" w:cs="Times New Roman"/>
                <w:color w:val="000000"/>
                <w:sz w:val="24"/>
                <w:szCs w:val="24"/>
              </w:rPr>
              <w:tab/>
              <w:t xml:space="preserve">Schuko</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 переходу на роботу від батареї, мс:</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не більше 6</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Захист локальної мережі RJ-45:</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Так</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 для управління та моніторингу USB: Так (інтерфейсний кабель у комплекті)</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467"/>
        </w:trPr>
        <w:tc>
          <w:tcPr>
            <w:tcW w:w="70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1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797"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shd w:val="clear" w:color="auto" w:fill="auto"/>
            <w:tcW w:w="4888"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системний блок, комплект клавіатура та миша - не менше 36, на ДБЖ – не менше 12</w:t>
            </w:r>
            <w:r/>
          </w:p>
        </w:tc>
        <w:tc>
          <w:tcPr>
            <w:tcW w:w="86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contextualSpacing/>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підтвердження відповідності товару, що входить до складу предмету закупівлі (с</w:t>
      </w:r>
      <w:r>
        <w:rPr>
          <w:rFonts w:ascii="Times New Roman" w:hAnsi="Times New Roman" w:cs="Times New Roman"/>
          <w:color w:val="000000"/>
          <w:sz w:val="24"/>
          <w:szCs w:val="24"/>
        </w:rPr>
        <w:t xml:space="preserve">истемний блок (ПЕОМ))</w:t>
      </w:r>
      <w:r>
        <w:rPr>
          <w:rFonts w:ascii="Times New Roman" w:hAnsi="Times New Roman" w:cs="Times New Roman"/>
          <w:sz w:val="24"/>
          <w:szCs w:val="24"/>
        </w:rPr>
        <w:t xml:space="preserve"> Учасник повинен надати копію:</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 на відповідність технічному регламенту з електромагнітної сумісності обладнання, затвердженого постановою Кабінету Міністрів від 16 грудня 2015 р. № 1077;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 на відповідність технічному регламенту низьковольтного електричного обладнання, затвердженого постановою Кабінету Міністрів в від 16 грудня 2015 р. № 1067;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 на відповідність технічному регламенту обмеження використання деяких небезпечних речовин в електричному та електронному обладнанні (ПКМУ №139 від 10.03.2017);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 на відповідність технічному регламенту радіообладнання, затвердженого постановою Кабінету Міністрів від 24 травня 2017 р. № 355);</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експертизи типу, у разі використання обладнання з радіодоступом (Wi-Fi/Bluetooth);</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управління якістю ДСТУ ISO 9001:2018; </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екологічного керування ДСТУ ISO 14001:2015; </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менеджменту інформаційної безпеки ISO/IEC 27001:2022;</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управління безпекою ланцюга постачання ISO/IEC 28000:2007;</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системи менеджменту охорони здоров'я та безпеки праці. Вимоги та настанови щодо застосовування ISO 45001:2018;</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 на систему енергетичного менеджменту ДСТУ ISO 50001:2020;</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Копію чинного висновку державної санітарно-епідеміологічної експертизи.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Якщо Учасник не є виробником товару, що входить до складу предмету закупівлі (с</w:t>
      </w:r>
      <w:r>
        <w:rPr>
          <w:rFonts w:ascii="Times New Roman" w:hAnsi="Times New Roman" w:cs="Times New Roman"/>
          <w:color w:val="000000"/>
          <w:sz w:val="24"/>
          <w:szCs w:val="24"/>
        </w:rPr>
        <w:t xml:space="preserve">истемний блок (ПЕОМ))</w:t>
      </w:r>
      <w:r>
        <w:rPr>
          <w:rFonts w:ascii="Times New Roman" w:hAnsi="Times New Roman" w:cs="Times New Roman"/>
          <w:sz w:val="24"/>
          <w:szCs w:val="24"/>
        </w:rPr>
        <w:t xml:space="preserve">, то він повинен надати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w:t>
      </w:r>
      <w:r>
        <w:rPr>
          <w:rFonts w:ascii="Times New Roman" w:hAnsi="Times New Roman" w:cs="Times New Roman"/>
          <w:sz w:val="24"/>
          <w:szCs w:val="24"/>
        </w:rPr>
        <w:t xml:space="preserve">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Учасник надає перелік сервісних центрів служби технічної підтримки, у яких буде здійснюв</w:t>
      </w:r>
      <w:r>
        <w:rPr>
          <w:rFonts w:ascii="Times New Roman" w:hAnsi="Times New Roman" w:cs="Times New Roman"/>
          <w:sz w:val="24"/>
          <w:szCs w:val="24"/>
        </w:rPr>
        <w:t xml:space="preserve">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порівняльну таблицю відповідності запропонованого товару технічним вимогам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Гарантійні листи повинні бути адресовані Замовнику із обов’язковим зазначенням найменування та номеру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3 365 868</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 мільйони триста шістдесят п’ять тисяч вісімсот шістдесят вісім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1"/>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2024-07-10T11:53:41Z</dcterms:modified>
</cp:coreProperties>
</file>