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Закупівля електричних побутових приладів та комплектуючих до них за ДК 021:2015: 39710000-2  Електричні побутові прилади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UA-2024-09-26-009763-а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bCs/>
          <w:sz w:val="24"/>
          <w:szCs w:val="24"/>
        </w:rPr>
        <w:t>Закупівля електричних побутових приладів та комплектуючих до них за ДК 021:2015: 39710000-2  Електричні побутові прилади</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bookmarkStart w:id="0" w:name="_Hlk163655665"/>
      <w:r>
        <w:rPr>
          <w:rFonts w:cs="Times New Roman" w:ascii="Times New Roman" w:hAnsi="Times New Roman"/>
          <w:b/>
          <w:color w:val="000000"/>
          <w:sz w:val="24"/>
          <w:szCs w:val="24"/>
        </w:rPr>
        <w:t>ТЕХНІЧНІ ВИМОГИ</w:t>
      </w:r>
      <w:bookmarkEnd w:id="0"/>
    </w:p>
    <w:p>
      <w:pPr>
        <w:pStyle w:val="Normal"/>
        <w:ind w:firstLine="357"/>
        <w:jc w:val="center"/>
        <w:rPr>
          <w:b/>
          <w:b/>
          <w:color w:val="000000"/>
        </w:rPr>
      </w:pPr>
      <w:r>
        <w:rPr>
          <w:b/>
          <w:color w:val="000000"/>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
        <w:gridCol w:w="5673"/>
        <w:gridCol w:w="1699"/>
        <w:gridCol w:w="1701"/>
      </w:tblGrid>
      <w:tr>
        <w:trPr/>
        <w:tc>
          <w:tcPr>
            <w:tcW w:w="560" w:type="dxa"/>
            <w:tcBorders/>
          </w:tcPr>
          <w:p>
            <w:pPr>
              <w:pStyle w:val="NormalWeb"/>
              <w:widowControl w:val="false"/>
              <w:spacing w:lineRule="auto" w:line="240" w:before="0" w:after="0"/>
              <w:jc w:val="center"/>
              <w:rPr>
                <w:b/>
                <w:b/>
                <w:bCs/>
              </w:rPr>
            </w:pPr>
            <w:r>
              <w:rPr>
                <w:rFonts w:eastAsia="Calibri"/>
                <w:b/>
                <w:bCs/>
                <w:kern w:val="0"/>
                <w:lang w:eastAsia="en-US" w:bidi="ar-SA"/>
              </w:rPr>
              <w:t xml:space="preserve">№ </w:t>
            </w:r>
            <w:r>
              <w:rPr>
                <w:rFonts w:eastAsia="Calibri"/>
                <w:b/>
                <w:bCs/>
                <w:kern w:val="0"/>
                <w:lang w:eastAsia="en-US" w:bidi="ar-SA"/>
              </w:rPr>
              <w:t>п/п</w:t>
            </w:r>
          </w:p>
        </w:tc>
        <w:tc>
          <w:tcPr>
            <w:tcW w:w="5673" w:type="dxa"/>
            <w:tcBorders/>
          </w:tcPr>
          <w:p>
            <w:pPr>
              <w:pStyle w:val="NormalWeb"/>
              <w:widowControl w:val="false"/>
              <w:spacing w:lineRule="auto" w:line="240" w:before="0" w:after="0"/>
              <w:jc w:val="center"/>
              <w:rPr>
                <w:b/>
                <w:b/>
                <w:bCs/>
              </w:rPr>
            </w:pPr>
            <w:r>
              <w:rPr>
                <w:rFonts w:eastAsia="Calibri"/>
                <w:b/>
                <w:bCs/>
                <w:kern w:val="0"/>
                <w:lang w:eastAsia="en-US" w:bidi="ar-SA"/>
              </w:rPr>
              <w:t>Назва товару</w:t>
            </w:r>
          </w:p>
        </w:tc>
        <w:tc>
          <w:tcPr>
            <w:tcW w:w="1699" w:type="dxa"/>
            <w:tcBorders/>
          </w:tcPr>
          <w:p>
            <w:pPr>
              <w:pStyle w:val="NormalWeb"/>
              <w:widowControl w:val="false"/>
              <w:spacing w:lineRule="auto" w:line="240" w:before="0" w:after="0"/>
              <w:jc w:val="center"/>
              <w:rPr>
                <w:b/>
                <w:b/>
                <w:bCs/>
              </w:rPr>
            </w:pPr>
            <w:r>
              <w:rPr>
                <w:rFonts w:eastAsia="Calibri"/>
                <w:b/>
                <w:bCs/>
                <w:kern w:val="0"/>
                <w:lang w:eastAsia="en-US" w:bidi="ar-SA"/>
              </w:rPr>
              <w:t>Одиниця виміру</w:t>
            </w:r>
          </w:p>
        </w:tc>
        <w:tc>
          <w:tcPr>
            <w:tcW w:w="1701" w:type="dxa"/>
            <w:tcBorders/>
          </w:tcPr>
          <w:p>
            <w:pPr>
              <w:pStyle w:val="NormalWeb"/>
              <w:widowControl w:val="false"/>
              <w:spacing w:lineRule="auto" w:line="240" w:before="0" w:after="0"/>
              <w:jc w:val="center"/>
              <w:rPr>
                <w:b/>
                <w:b/>
                <w:bCs/>
              </w:rPr>
            </w:pPr>
            <w:r>
              <w:rPr>
                <w:rFonts w:eastAsia="Calibri"/>
                <w:b/>
                <w:bCs/>
                <w:kern w:val="0"/>
                <w:lang w:eastAsia="en-US" w:bidi="ar-SA"/>
              </w:rPr>
              <w:t>Кількість</w:t>
            </w:r>
          </w:p>
        </w:tc>
      </w:tr>
      <w:tr>
        <w:trPr/>
        <w:tc>
          <w:tcPr>
            <w:tcW w:w="560" w:type="dxa"/>
            <w:tcBorders/>
            <w:vAlign w:val="center"/>
          </w:tcPr>
          <w:p>
            <w:pPr>
              <w:pStyle w:val="NormalWeb"/>
              <w:widowControl w:val="false"/>
              <w:spacing w:lineRule="auto" w:line="240" w:before="0" w:after="0"/>
              <w:jc w:val="center"/>
              <w:rPr>
                <w:rFonts w:eastAsia="Calibri"/>
                <w:kern w:val="0"/>
                <w:lang w:eastAsia="en-US" w:bidi="ar-SA"/>
              </w:rPr>
            </w:pPr>
            <w:r>
              <w:rPr>
                <w:rFonts w:eastAsia="Calibri"/>
                <w:b/>
                <w:bCs/>
                <w:kern w:val="0"/>
                <w:lang w:eastAsia="en-US" w:bidi="ar-SA"/>
              </w:rPr>
              <w:t>1</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Пилосос для хімічної чистки </w:t>
            </w:r>
            <w:r>
              <w:rPr>
                <w:rFonts w:eastAsia="Calibri"/>
                <w:b/>
                <w:bCs/>
                <w:kern w:val="0"/>
                <w:lang w:val="en-US" w:eastAsia="ru-RU" w:bidi="ar-SA"/>
              </w:rPr>
              <w:t>Puzzi 8</w:t>
            </w:r>
            <w:r>
              <w:rPr>
                <w:rFonts w:eastAsia="Calibri"/>
                <w:b/>
                <w:bCs/>
                <w:kern w:val="0"/>
                <w:lang w:eastAsia="ru-RU" w:bidi="ar-SA"/>
              </w:rPr>
              <w:t>/</w:t>
            </w:r>
            <w:r>
              <w:rPr>
                <w:rFonts w:eastAsia="Calibri"/>
                <w:b/>
                <w:bCs/>
                <w:kern w:val="0"/>
                <w:lang w:val="en-US" w:eastAsia="ru-RU" w:bidi="ar-SA"/>
              </w:rPr>
              <w:t>1Adv</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2</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Пилосос </w:t>
            </w:r>
            <w:r>
              <w:rPr>
                <w:rFonts w:eastAsia="Calibri"/>
                <w:b/>
                <w:bCs/>
                <w:kern w:val="0"/>
                <w:lang w:val="en-US" w:eastAsia="ru-RU" w:bidi="ar-SA"/>
              </w:rPr>
              <w:t>WD 4 V-20</w:t>
            </w:r>
            <w:r>
              <w:rPr>
                <w:rFonts w:eastAsia="Calibri"/>
                <w:b/>
                <w:bCs/>
                <w:kern w:val="0"/>
                <w:lang w:eastAsia="ru-RU" w:bidi="ar-SA"/>
              </w:rPr>
              <w:t>/</w:t>
            </w:r>
            <w:r>
              <w:rPr>
                <w:rFonts w:eastAsia="Calibri"/>
                <w:b/>
                <w:bCs/>
                <w:kern w:val="0"/>
                <w:lang w:val="en-US" w:eastAsia="ru-RU" w:bidi="ar-SA"/>
              </w:rPr>
              <w:t>5</w:t>
            </w:r>
            <w:r>
              <w:rPr>
                <w:rFonts w:eastAsia="Calibri"/>
                <w:b/>
                <w:bCs/>
                <w:kern w:val="0"/>
                <w:lang w:eastAsia="ru-RU" w:bidi="ar-SA"/>
              </w:rPr>
              <w:t>/</w:t>
            </w:r>
            <w:r>
              <w:rPr>
                <w:rFonts w:eastAsia="Calibri"/>
                <w:b/>
                <w:bCs/>
                <w:kern w:val="0"/>
                <w:lang w:val="en-US" w:eastAsia="ru-RU" w:bidi="ar-SA"/>
              </w:rPr>
              <w:t>22</w:t>
            </w:r>
            <w:r>
              <w:rPr>
                <w:rFonts w:eastAsia="Calibri"/>
                <w:b/>
                <w:bCs/>
                <w:kern w:val="0"/>
                <w:lang w:eastAsia="ru-RU" w:bidi="ar-SA"/>
              </w:rPr>
              <w:t xml:space="preserve"> *</w:t>
            </w:r>
            <w:r>
              <w:rPr>
                <w:rFonts w:eastAsia="Calibri"/>
                <w:b/>
                <w:bCs/>
                <w:kern w:val="0"/>
                <w:lang w:val="en-US" w:eastAsia="ru-RU" w:bidi="ar-SA"/>
              </w:rPr>
              <w:t>EU</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2</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3</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Пилосос для сухого прибирання Т 11/1 </w:t>
            </w:r>
            <w:r>
              <w:rPr>
                <w:rFonts w:eastAsia="Calibri"/>
                <w:b/>
                <w:bCs/>
                <w:kern w:val="0"/>
                <w:lang w:val="en-US" w:eastAsia="ru-RU" w:bidi="ar-SA"/>
              </w:rPr>
              <w:t>Classic</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12</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4</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Фільтр мішки флісові</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30</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5</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Фільтруючий елемент в зборі  для заміни</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10</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6</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Фільт захисту двигуна</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10</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7</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Комплект насадок </w:t>
            </w:r>
            <w:r>
              <w:rPr>
                <w:rFonts w:eastAsia="Calibri"/>
                <w:b/>
                <w:bCs/>
                <w:kern w:val="0"/>
                <w:lang w:val="en-US" w:eastAsia="ru-RU" w:bidi="ar-SA"/>
              </w:rPr>
              <w:t>DN35</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5</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8</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Плоский складчастий фільтр </w:t>
            </w:r>
            <w:r>
              <w:rPr>
                <w:rFonts w:eastAsia="Calibri"/>
                <w:b/>
                <w:bCs/>
                <w:kern w:val="0"/>
                <w:lang w:val="en-US" w:eastAsia="ru-RU" w:bidi="ar-SA"/>
              </w:rPr>
              <w:t xml:space="preserve">MV </w:t>
            </w:r>
            <w:r>
              <w:rPr>
                <w:rFonts w:eastAsia="Calibri"/>
                <w:b/>
                <w:bCs/>
                <w:kern w:val="0"/>
                <w:lang w:eastAsia="ru-RU" w:bidi="ar-SA"/>
              </w:rPr>
              <w:t>4/5/6</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2</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9</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Флісові фільтр-мішки для </w:t>
            </w:r>
            <w:r>
              <w:rPr>
                <w:rFonts w:eastAsia="Calibri"/>
                <w:b/>
                <w:bCs/>
                <w:kern w:val="0"/>
                <w:lang w:val="en-US" w:eastAsia="ru-RU" w:bidi="ar-SA"/>
              </w:rPr>
              <w:t xml:space="preserve">MV </w:t>
            </w:r>
            <w:r>
              <w:rPr>
                <w:rFonts w:eastAsia="Calibri"/>
                <w:b/>
                <w:bCs/>
                <w:kern w:val="0"/>
                <w:lang w:eastAsia="ru-RU" w:bidi="ar-SA"/>
              </w:rPr>
              <w:t>4/5/6</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10</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10</w:t>
            </w:r>
          </w:p>
        </w:tc>
        <w:tc>
          <w:tcPr>
            <w:tcW w:w="5673" w:type="dxa"/>
            <w:tcBorders/>
          </w:tcPr>
          <w:p>
            <w:pPr>
              <w:pStyle w:val="NormalWeb"/>
              <w:widowControl w:val="false"/>
              <w:spacing w:lineRule="auto" w:line="240" w:before="0" w:after="0"/>
              <w:jc w:val="left"/>
              <w:rPr>
                <w:b/>
                <w:b/>
                <w:bCs/>
              </w:rPr>
            </w:pPr>
            <w:r>
              <w:rPr>
                <w:rFonts w:eastAsia="Calibri"/>
                <w:b/>
                <w:bCs/>
                <w:kern w:val="0"/>
                <w:lang w:eastAsia="ru-RU" w:bidi="ar-SA"/>
              </w:rPr>
              <w:t xml:space="preserve">Побутовий комплект </w:t>
            </w:r>
            <w:r>
              <w:rPr>
                <w:rFonts w:eastAsia="Calibri"/>
                <w:b/>
                <w:bCs/>
                <w:kern w:val="0"/>
                <w:lang w:val="en-US" w:eastAsia="ru-RU" w:bidi="ar-SA"/>
              </w:rPr>
              <w:t>MV</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2</w:t>
            </w:r>
          </w:p>
        </w:tc>
      </w:tr>
      <w:tr>
        <w:trPr/>
        <w:tc>
          <w:tcPr>
            <w:tcW w:w="560"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11</w:t>
            </w:r>
          </w:p>
        </w:tc>
        <w:tc>
          <w:tcPr>
            <w:tcW w:w="5673" w:type="dxa"/>
            <w:tcBorders/>
          </w:tcPr>
          <w:p>
            <w:pPr>
              <w:pStyle w:val="NormalWeb"/>
              <w:widowControl w:val="false"/>
              <w:spacing w:lineRule="auto" w:line="240" w:before="0" w:after="0"/>
              <w:jc w:val="left"/>
              <w:rPr>
                <w:b/>
                <w:b/>
                <w:bCs/>
              </w:rPr>
            </w:pPr>
            <w:r>
              <w:rPr>
                <w:rFonts w:eastAsia="Calibri"/>
                <w:b/>
                <w:bCs/>
                <w:kern w:val="0"/>
                <w:lang w:val="en-US" w:eastAsia="ru-RU" w:bidi="ar-SA"/>
              </w:rPr>
              <w:t xml:space="preserve">RM </w:t>
            </w:r>
            <w:r>
              <w:rPr>
                <w:rFonts w:eastAsia="Calibri"/>
                <w:b/>
                <w:bCs/>
                <w:kern w:val="0"/>
                <w:lang w:eastAsia="ru-RU" w:bidi="ar-SA"/>
              </w:rPr>
              <w:t>760 (10 кг) засіб для чистки килимів</w:t>
            </w:r>
          </w:p>
        </w:tc>
        <w:tc>
          <w:tcPr>
            <w:tcW w:w="1699"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pacing w:lineRule="auto" w:line="240" w:before="0" w:after="0"/>
              <w:jc w:val="center"/>
              <w:rPr>
                <w:b/>
                <w:b/>
                <w:bCs/>
              </w:rPr>
            </w:pPr>
            <w:r>
              <w:rPr>
                <w:rFonts w:eastAsia="Calibri"/>
                <w:b/>
                <w:bCs/>
                <w:kern w:val="0"/>
                <w:lang w:eastAsia="en-US" w:bidi="ar-SA"/>
              </w:rPr>
              <w:t>1</w:t>
            </w:r>
          </w:p>
        </w:tc>
      </w:tr>
    </w:tbl>
    <w:p>
      <w:pPr>
        <w:pStyle w:val="NormalWeb"/>
        <w:spacing w:lineRule="auto" w:line="240"/>
        <w:jc w:val="both"/>
        <w:rPr>
          <w:b/>
          <w:b/>
          <w:bCs/>
          <w:i/>
          <w:i/>
          <w:iCs/>
          <w:lang w:eastAsia="ru-RU"/>
        </w:rPr>
      </w:pPr>
      <w:r>
        <w:rPr>
          <w:b/>
          <w:bCs/>
          <w:i/>
          <w:iCs/>
          <w:lang w:eastAsia="ru-RU"/>
        </w:rPr>
      </w:r>
    </w:p>
    <w:p>
      <w:pPr>
        <w:pStyle w:val="Normal"/>
        <w:spacing w:lineRule="auto" w:line="240"/>
        <w:ind w:firstLine="567"/>
        <w:jc w:val="both"/>
        <w:rPr>
          <w:rFonts w:ascii="Times New Roman" w:hAnsi="Times New Roman" w:cs="Times New Roman"/>
          <w:b/>
          <w:b/>
          <w:bCs/>
          <w:i/>
          <w:i/>
          <w:iCs/>
          <w:sz w:val="24"/>
          <w:szCs w:val="24"/>
        </w:rPr>
      </w:pPr>
      <w:r>
        <w:rPr>
          <w:rFonts w:cs="Times New Roman" w:ascii="Times New Roman" w:hAnsi="Times New Roman"/>
          <w:b/>
          <w:bCs/>
          <w:i/>
          <w:iCs/>
          <w:sz w:val="24"/>
          <w:szCs w:val="24"/>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pPr>
        <w:pStyle w:val="Normal"/>
        <w:spacing w:lineRule="auto" w:line="24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rPr>
          <w:rFonts w:ascii="Times New Roman" w:hAnsi="Times New Roman" w:cs="Times New Roman"/>
          <w:b/>
          <w:b/>
          <w:sz w:val="24"/>
          <w:szCs w:val="24"/>
        </w:rPr>
      </w:pPr>
      <w:r>
        <w:rPr>
          <w:rFonts w:cs="Times New Roman" w:ascii="Times New Roman" w:hAnsi="Times New Roman"/>
          <w:b/>
          <w:sz w:val="24"/>
          <w:szCs w:val="24"/>
        </w:rPr>
        <w:t>Вимоги до предмета закупівлі:</w:t>
      </w:r>
    </w:p>
    <w:p>
      <w:pPr>
        <w:pStyle w:val="Normal"/>
        <w:spacing w:lineRule="auto" w:line="240"/>
        <w:ind w:firstLine="567"/>
        <w:jc w:val="both"/>
        <w:rPr>
          <w:rFonts w:ascii="Times New Roman" w:hAnsi="Times New Roman" w:cs="Times New Roman"/>
          <w:sz w:val="24"/>
          <w:szCs w:val="24"/>
          <w:lang w:eastAsia="uk-UA"/>
        </w:rPr>
      </w:pPr>
      <w:r>
        <w:rPr>
          <w:rFonts w:cs="Times New Roman" w:ascii="Times New Roman" w:hAnsi="Times New Roman"/>
          <w:color w:val="000000"/>
          <w:sz w:val="24"/>
          <w:szCs w:val="24"/>
        </w:rPr>
        <w:t>Характеристики товару повинні відповідати вимогам або бути кращими тих, які наведені в таблиці.</w:t>
      </w:r>
      <w:r>
        <w:rPr>
          <w:rFonts w:cs="Times New Roman" w:ascii="Times New Roman" w:hAnsi="Times New Roman"/>
          <w:sz w:val="24"/>
          <w:szCs w:val="24"/>
          <w:lang w:eastAsia="uk-UA"/>
        </w:rPr>
        <w:t xml:space="preserve"> </w:t>
      </w:r>
      <w:r>
        <w:rPr>
          <w:rFonts w:cs="Times New Roman" w:ascii="Times New Roman" w:hAnsi="Times New Roman"/>
          <w:b/>
          <w:sz w:val="24"/>
          <w:szCs w:val="24"/>
          <w:u w:val="single"/>
          <w:lang w:eastAsia="uk-UA"/>
        </w:rPr>
        <w:t>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w:t>
      </w:r>
      <w:r>
        <w:rPr>
          <w:rFonts w:cs="Times New Roman" w:ascii="Times New Roman" w:hAnsi="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pPr>
        <w:pStyle w:val="Normal"/>
        <w:spacing w:lineRule="auto" w:line="240"/>
        <w:jc w:val="both"/>
        <w:rPr>
          <w:rFonts w:ascii="Times New Roman" w:hAnsi="Times New Roman" w:cs="Times New Roman"/>
          <w:sz w:val="24"/>
          <w:szCs w:val="24"/>
          <w:lang w:eastAsia="uk-UA"/>
        </w:rPr>
      </w:pPr>
      <w:r>
        <w:rPr>
          <w:rFonts w:cs="Times New Roman" w:ascii="Times New Roman" w:hAnsi="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pPr>
        <w:pStyle w:val="Normal"/>
        <w:spacing w:lineRule="auto" w:line="240"/>
        <w:jc w:val="both"/>
        <w:rPr>
          <w:rFonts w:ascii="Times New Roman" w:hAnsi="Times New Roman" w:cs="Times New Roman"/>
          <w:sz w:val="24"/>
          <w:szCs w:val="24"/>
          <w:lang w:eastAsia="uk-UA"/>
        </w:rPr>
      </w:pPr>
      <w:r>
        <w:rPr>
          <w:rFonts w:cs="Times New Roman" w:ascii="Times New Roman" w:hAnsi="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pPr>
        <w:pStyle w:val="Normal"/>
        <w:spacing w:lineRule="auto" w:line="240"/>
        <w:jc w:val="both"/>
        <w:rPr>
          <w:rFonts w:ascii="Times New Roman" w:hAnsi="Times New Roman" w:cs="Times New Roman"/>
          <w:sz w:val="24"/>
          <w:szCs w:val="24"/>
          <w:lang w:eastAsia="uk-UA"/>
        </w:rPr>
      </w:pPr>
      <w:r>
        <w:rPr>
          <w:rFonts w:cs="Times New Roman" w:ascii="Times New Roman" w:hAnsi="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pPr>
        <w:pStyle w:val="Normal"/>
        <w:spacing w:lineRule="auto" w:line="240"/>
        <w:jc w:val="both"/>
        <w:rPr>
          <w:rFonts w:ascii="Times New Roman" w:hAnsi="Times New Roman" w:cs="Times New Roman"/>
          <w:sz w:val="24"/>
          <w:szCs w:val="24"/>
          <w:lang w:eastAsia="uk-UA"/>
        </w:rPr>
      </w:pPr>
      <w:r>
        <w:rPr>
          <w:rFonts w:cs="Times New Roman" w:ascii="Times New Roman" w:hAnsi="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pPr>
        <w:pStyle w:val="Normal"/>
        <w:spacing w:lineRule="auto" w:line="240"/>
        <w:jc w:val="both"/>
        <w:rPr>
          <w:rFonts w:ascii="Times New Roman" w:hAnsi="Times New Roman" w:cs="Times New Roman"/>
          <w:b/>
          <w:b/>
          <w:sz w:val="24"/>
          <w:szCs w:val="24"/>
          <w:lang w:eastAsia="uk-UA"/>
        </w:rPr>
      </w:pPr>
      <w:r>
        <w:rPr>
          <w:rFonts w:cs="Times New Roman" w:ascii="Times New Roman" w:hAnsi="Times New Roman"/>
          <w:sz w:val="24"/>
          <w:szCs w:val="24"/>
          <w:lang w:eastAsia="uk-UA"/>
        </w:rPr>
        <w:t xml:space="preserve">5. Гарантія на товар повинна бути не менше гарантії виробника та складати не менше 12 (дванадцять) місяців </w:t>
      </w:r>
      <w:r>
        <w:rPr>
          <w:rFonts w:cs="Times New Roman" w:ascii="Times New Roman" w:hAnsi="Times New Roman"/>
          <w:b/>
          <w:sz w:val="24"/>
          <w:szCs w:val="24"/>
          <w:lang w:eastAsia="uk-UA"/>
        </w:rPr>
        <w:t>(надати гарантійний лист)</w:t>
      </w:r>
    </w:p>
    <w:p>
      <w:pPr>
        <w:pStyle w:val="Normal"/>
        <w:spacing w:lineRule="auto" w:line="240"/>
        <w:jc w:val="both"/>
        <w:rPr>
          <w:rFonts w:ascii="Times New Roman" w:hAnsi="Times New Roman" w:cs="Times New Roman"/>
          <w:sz w:val="24"/>
          <w:szCs w:val="24"/>
        </w:rPr>
      </w:pPr>
      <w:r>
        <w:rPr>
          <w:rFonts w:cs="Times New Roman" w:ascii="Times New Roman" w:hAnsi="Times New Roman"/>
          <w:bCs/>
          <w:sz w:val="24"/>
          <w:szCs w:val="24"/>
          <w:lang w:eastAsia="uk-UA"/>
        </w:rPr>
        <w:t xml:space="preserve">6. </w:t>
      </w:r>
      <w:r>
        <w:rPr>
          <w:rFonts w:cs="Times New Roman" w:ascii="Times New Roman" w:hAnsi="Times New Roman"/>
          <w:sz w:val="24"/>
          <w:szCs w:val="24"/>
        </w:rPr>
        <w:t>Якщо Учасник не є виробником товару, що є предметом закупівлі, то він повинен надати лист від виробника продукції, який підтверджує дилерські повноваження Учасника, як офіційного представництва на території України.</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7. Товар повинен бути офіційно ввезений на територію України та бути від оригінального виробника даного товару за маркою товару.</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 xml:space="preserve">8. Учаснику необхідно у складі тендерної пропозиції надати сертифікат відповідності на товар за позиціями «2», «3» СПЕЦИФІКАЦІЇ виданий державним органом з сертифікації України про відповідність товару (та ліцензію в комплекті на право використання сертифікату, де зазначений Учасник) ДСТУ </w:t>
      </w:r>
      <w:r>
        <w:rPr>
          <w:rFonts w:cs="Times New Roman" w:ascii="Times New Roman" w:hAnsi="Times New Roman"/>
          <w:bCs/>
          <w:sz w:val="24"/>
          <w:szCs w:val="24"/>
          <w:lang w:val="en-US" w:eastAsia="uk-UA"/>
        </w:rPr>
        <w:t>EN 60335-1</w:t>
      </w:r>
      <w:r>
        <w:rPr>
          <w:rFonts w:cs="Times New Roman" w:ascii="Times New Roman" w:hAnsi="Times New Roman"/>
          <w:bCs/>
          <w:sz w:val="24"/>
          <w:szCs w:val="24"/>
          <w:lang w:eastAsia="uk-UA"/>
        </w:rPr>
        <w:t xml:space="preserve">:2017, ДСТУ </w:t>
      </w:r>
      <w:r>
        <w:rPr>
          <w:rFonts w:cs="Times New Roman" w:ascii="Times New Roman" w:hAnsi="Times New Roman"/>
          <w:bCs/>
          <w:sz w:val="24"/>
          <w:szCs w:val="24"/>
          <w:lang w:val="en-US" w:eastAsia="uk-UA"/>
        </w:rPr>
        <w:t>EN 6</w:t>
      </w:r>
      <w:r>
        <w:rPr>
          <w:rFonts w:cs="Times New Roman" w:ascii="Times New Roman" w:hAnsi="Times New Roman"/>
          <w:bCs/>
          <w:sz w:val="24"/>
          <w:szCs w:val="24"/>
          <w:lang w:eastAsia="uk-UA"/>
        </w:rPr>
        <w:t xml:space="preserve">2233:2015,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55014</w:t>
      </w:r>
      <w:r>
        <w:rPr>
          <w:rFonts w:cs="Times New Roman" w:ascii="Times New Roman" w:hAnsi="Times New Roman"/>
          <w:bCs/>
          <w:sz w:val="24"/>
          <w:szCs w:val="24"/>
          <w:lang w:val="en-US" w:eastAsia="uk-UA"/>
        </w:rPr>
        <w:t>-1</w:t>
      </w:r>
      <w:r>
        <w:rPr>
          <w:rFonts w:cs="Times New Roman" w:ascii="Times New Roman" w:hAnsi="Times New Roman"/>
          <w:bCs/>
          <w:sz w:val="24"/>
          <w:szCs w:val="24"/>
          <w:lang w:eastAsia="uk-UA"/>
        </w:rPr>
        <w:t xml:space="preserve">:2019,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55014</w:t>
      </w:r>
      <w:r>
        <w:rPr>
          <w:rFonts w:cs="Times New Roman" w:ascii="Times New Roman" w:hAnsi="Times New Roman"/>
          <w:bCs/>
          <w:sz w:val="24"/>
          <w:szCs w:val="24"/>
          <w:lang w:val="en-US" w:eastAsia="uk-UA"/>
        </w:rPr>
        <w:t>-</w:t>
      </w:r>
      <w:r>
        <w:rPr>
          <w:rFonts w:cs="Times New Roman" w:ascii="Times New Roman" w:hAnsi="Times New Roman"/>
          <w:bCs/>
          <w:sz w:val="24"/>
          <w:szCs w:val="24"/>
          <w:lang w:eastAsia="uk-UA"/>
        </w:rPr>
        <w:t xml:space="preserve">2:2017,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61000-3</w:t>
      </w:r>
      <w:r>
        <w:rPr>
          <w:rFonts w:cs="Times New Roman" w:ascii="Times New Roman" w:hAnsi="Times New Roman"/>
          <w:bCs/>
          <w:sz w:val="24"/>
          <w:szCs w:val="24"/>
          <w:lang w:val="en-US" w:eastAsia="uk-UA"/>
        </w:rPr>
        <w:t>-</w:t>
      </w:r>
      <w:r>
        <w:rPr>
          <w:rFonts w:cs="Times New Roman" w:ascii="Times New Roman" w:hAnsi="Times New Roman"/>
          <w:bCs/>
          <w:sz w:val="24"/>
          <w:szCs w:val="24"/>
          <w:lang w:eastAsia="uk-UA"/>
        </w:rPr>
        <w:t xml:space="preserve">2:2016,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61000-3</w:t>
      </w:r>
      <w:r>
        <w:rPr>
          <w:rFonts w:cs="Times New Roman" w:ascii="Times New Roman" w:hAnsi="Times New Roman"/>
          <w:bCs/>
          <w:sz w:val="24"/>
          <w:szCs w:val="24"/>
          <w:lang w:val="en-US" w:eastAsia="uk-UA"/>
        </w:rPr>
        <w:t>-</w:t>
      </w:r>
      <w:r>
        <w:rPr>
          <w:rFonts w:cs="Times New Roman" w:ascii="Times New Roman" w:hAnsi="Times New Roman"/>
          <w:bCs/>
          <w:sz w:val="24"/>
          <w:szCs w:val="24"/>
          <w:lang w:eastAsia="uk-UA"/>
        </w:rPr>
        <w:t xml:space="preserve">3:2017 та сертифікат відповідності на товар за позиціями «1» СПЕЦИФІКАЦІЇ виданий державним органом з сертифікації України про відповідність товару ДСТУ </w:t>
      </w:r>
      <w:r>
        <w:rPr>
          <w:rFonts w:cs="Times New Roman" w:ascii="Times New Roman" w:hAnsi="Times New Roman"/>
          <w:bCs/>
          <w:sz w:val="24"/>
          <w:szCs w:val="24"/>
          <w:lang w:val="en-US" w:eastAsia="uk-UA"/>
        </w:rPr>
        <w:t>IEC 60335-1</w:t>
      </w:r>
      <w:r>
        <w:rPr>
          <w:rFonts w:cs="Times New Roman" w:ascii="Times New Roman" w:hAnsi="Times New Roman"/>
          <w:bCs/>
          <w:sz w:val="24"/>
          <w:szCs w:val="24"/>
          <w:lang w:eastAsia="uk-UA"/>
        </w:rPr>
        <w:t xml:space="preserve">:2004,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61000-3</w:t>
      </w:r>
      <w:r>
        <w:rPr>
          <w:rFonts w:cs="Times New Roman" w:ascii="Times New Roman" w:hAnsi="Times New Roman"/>
          <w:bCs/>
          <w:sz w:val="24"/>
          <w:szCs w:val="24"/>
          <w:lang w:val="en-US" w:eastAsia="uk-UA"/>
        </w:rPr>
        <w:t>-</w:t>
      </w:r>
      <w:r>
        <w:rPr>
          <w:rFonts w:cs="Times New Roman" w:ascii="Times New Roman" w:hAnsi="Times New Roman"/>
          <w:bCs/>
          <w:sz w:val="24"/>
          <w:szCs w:val="24"/>
          <w:lang w:eastAsia="uk-UA"/>
        </w:rPr>
        <w:t xml:space="preserve">2:2016, ДСТУ </w:t>
      </w:r>
      <w:r>
        <w:rPr>
          <w:rFonts w:cs="Times New Roman" w:ascii="Times New Roman" w:hAnsi="Times New Roman"/>
          <w:bCs/>
          <w:sz w:val="24"/>
          <w:szCs w:val="24"/>
          <w:lang w:val="en-US" w:eastAsia="uk-UA"/>
        </w:rPr>
        <w:t xml:space="preserve">EN </w:t>
      </w:r>
      <w:r>
        <w:rPr>
          <w:rFonts w:cs="Times New Roman" w:ascii="Times New Roman" w:hAnsi="Times New Roman"/>
          <w:bCs/>
          <w:sz w:val="24"/>
          <w:szCs w:val="24"/>
          <w:lang w:eastAsia="uk-UA"/>
        </w:rPr>
        <w:t>61000-3</w:t>
      </w:r>
      <w:r>
        <w:rPr>
          <w:rFonts w:cs="Times New Roman" w:ascii="Times New Roman" w:hAnsi="Times New Roman"/>
          <w:bCs/>
          <w:sz w:val="24"/>
          <w:szCs w:val="24"/>
          <w:lang w:val="en-US" w:eastAsia="uk-UA"/>
        </w:rPr>
        <w:t>-</w:t>
      </w:r>
      <w:r>
        <w:rPr>
          <w:rFonts w:cs="Times New Roman" w:ascii="Times New Roman" w:hAnsi="Times New Roman"/>
          <w:bCs/>
          <w:sz w:val="24"/>
          <w:szCs w:val="24"/>
          <w:lang w:eastAsia="uk-UA"/>
        </w:rPr>
        <w:t xml:space="preserve">3:2004, ДСТУ </w:t>
      </w:r>
      <w:r>
        <w:rPr>
          <w:rFonts w:cs="Times New Roman" w:ascii="Times New Roman" w:hAnsi="Times New Roman"/>
          <w:bCs/>
          <w:sz w:val="24"/>
          <w:szCs w:val="24"/>
          <w:lang w:val="en-US" w:eastAsia="uk-UA"/>
        </w:rPr>
        <w:t>CISPR 14-2</w:t>
      </w:r>
      <w:r>
        <w:rPr>
          <w:rFonts w:cs="Times New Roman" w:ascii="Times New Roman" w:hAnsi="Times New Roman"/>
          <w:bCs/>
          <w:sz w:val="24"/>
          <w:szCs w:val="24"/>
          <w:lang w:eastAsia="uk-UA"/>
        </w:rPr>
        <w:t xml:space="preserve">:2007, ДСТУ </w:t>
      </w:r>
      <w:r>
        <w:rPr>
          <w:rFonts w:cs="Times New Roman" w:ascii="Times New Roman" w:hAnsi="Times New Roman"/>
          <w:bCs/>
          <w:sz w:val="24"/>
          <w:szCs w:val="24"/>
          <w:lang w:val="en-US" w:eastAsia="uk-UA"/>
        </w:rPr>
        <w:t>CISPR 14-</w:t>
      </w:r>
      <w:r>
        <w:rPr>
          <w:rFonts w:cs="Times New Roman" w:ascii="Times New Roman" w:hAnsi="Times New Roman"/>
          <w:bCs/>
          <w:sz w:val="24"/>
          <w:szCs w:val="24"/>
          <w:lang w:eastAsia="uk-UA"/>
        </w:rPr>
        <w:t>1:2004, які підтверджують якість запропонованого товару.</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9. Учаснику необхідно у складі тендерної пропозиції надати декларацію відповідності  на товар зазначений в позиції «3» СПЕЦИФІКАЦІЇ на відповідність Технічному регламенту безпеки машин, затвердженого постановою КМУ від 30.01.2023 р. № 62 та вимогам стосовно електромагнітної сумісності згідно з технічним регламентом з електромагнітної сумісності обладнання, затвердженого постановою КМУ від 16 грудня 2015 р. № 1077.</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10. Учаснику необхідно у складі тендерної пропозиції надати декларацію відповідності  на товар зазначений в позиції «2» СПЕЦИФІКАЦІЇ на відповідність вимогам Технічного регламенту з електромагнітної сумісності обладнання, затвердженого постановою КМУ від 16 грудня 2015 р. № 1077 та Технічного регламенту низьковольтного електричного обладнання, затвердженого постановою КМУ від 16 грудня 2015 р. № 1067.</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11. Учаснику необхідно у складі тендерної пропозиції надати декларацію відповідності  на товар зазначений в позиції «1» СПЕЦИФІКАЦІЇ на відповідність вимогам Технічного регламенту з електричної сумісності обладнання, затвердженого постановою КМУ від 20 червня 2012 р. № 631 та Технічного регламенту низьковольтного електричного обладнання, затвердженого постановою КМУ від 29 грудня 2012 р. № 810.</w:t>
      </w:r>
    </w:p>
    <w:p>
      <w:pPr>
        <w:pStyle w:val="Normal"/>
        <w:spacing w:lineRule="auto" w:line="240"/>
        <w:jc w:val="both"/>
        <w:rPr>
          <w:rFonts w:ascii="Times New Roman" w:hAnsi="Times New Roman" w:cs="Times New Roman"/>
          <w:bCs/>
          <w:sz w:val="24"/>
          <w:szCs w:val="24"/>
          <w:lang w:eastAsia="uk-UA"/>
        </w:rPr>
      </w:pPr>
      <w:r>
        <w:rPr>
          <w:rFonts w:cs="Times New Roman" w:ascii="Times New Roman" w:hAnsi="Times New Roman"/>
          <w:bCs/>
          <w:sz w:val="24"/>
          <w:szCs w:val="24"/>
          <w:lang w:eastAsia="uk-UA"/>
        </w:rPr>
        <w:t>12. Учаснику необхідно у складі тендерної пропозиції надати декларацію відповідності на товар (що підлягає такому декларуванню) про відповідність Технічному регламенту мийних засобів.</w:t>
      </w:r>
    </w:p>
    <w:p>
      <w:pPr>
        <w:pStyle w:val="Normal"/>
        <w:spacing w:lineRule="auto" w:line="240"/>
        <w:ind w:left="14" w:firstLine="538"/>
        <w:jc w:val="both"/>
        <w:rPr>
          <w:rFonts w:ascii="Times New Roman" w:hAnsi="Times New Roman" w:cs="Times New Roman"/>
          <w:sz w:val="24"/>
          <w:szCs w:val="24"/>
          <w:lang w:eastAsia="ar-SA"/>
        </w:rPr>
      </w:pPr>
      <w:r>
        <w:rPr>
          <w:rFonts w:cs="Times New Roman" w:ascii="Times New Roman" w:hAnsi="Times New Roman"/>
          <w:bCs/>
          <w:sz w:val="24"/>
          <w:szCs w:val="24"/>
          <w:lang w:eastAsia="ar-SA"/>
        </w:rPr>
        <w:t>У разі</w:t>
      </w:r>
      <w:r>
        <w:rPr>
          <w:rFonts w:cs="Times New Roman" w:ascii="Times New Roman" w:hAnsi="Times New Roman"/>
          <w:sz w:val="24"/>
          <w:szCs w:val="24"/>
          <w:lang w:eastAsia="ar-SA"/>
        </w:rPr>
        <w:t>,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ind w:left="14" w:firstLine="538"/>
        <w:jc w:val="both"/>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pacing w:lineRule="auto" w:line="240" w:before="0" w:after="16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t>Таблиця відповідності</w:t>
      </w:r>
    </w:p>
    <w:tbl>
      <w:tblPr>
        <w:tblpPr w:vertAnchor="text" w:horzAnchor="page" w:leftFromText="180" w:rightFromText="180" w:tblpX="1697" w:tblpY="362"/>
        <w:tblW w:w="963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61"/>
        <w:gridCol w:w="2270"/>
        <w:gridCol w:w="2977"/>
        <w:gridCol w:w="3825"/>
      </w:tblGrid>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14" w:firstLine="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 xml:space="preserve">№ </w:t>
            </w:r>
            <w:r>
              <w:rPr>
                <w:rFonts w:cs="Times New Roman" w:ascii="Times New Roman" w:hAnsi="Times New Roman"/>
                <w:bCs/>
                <w:sz w:val="24"/>
                <w:szCs w:val="24"/>
                <w:lang w:eastAsia="ar-SA"/>
              </w:rPr>
              <w:t>з/п</w:t>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14" w:hanging="14"/>
              <w:contextualSpacing/>
              <w:jc w:val="center"/>
              <w:rPr>
                <w:rFonts w:ascii="Times New Roman" w:hAnsi="Times New Roman" w:cs="Times New Roman"/>
                <w:bCs/>
                <w:sz w:val="24"/>
                <w:szCs w:val="24"/>
                <w:lang w:eastAsia="ar-SA"/>
              </w:rPr>
            </w:pPr>
            <w:r>
              <w:rPr>
                <w:rFonts w:cs="Times New Roman" w:ascii="Times New Roman" w:hAnsi="Times New Roman"/>
                <w:bCs/>
                <w:sz w:val="24"/>
                <w:szCs w:val="24"/>
                <w:lang w:eastAsia="ar-SA"/>
              </w:rPr>
              <w:t>Товар</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14" w:firstLine="40"/>
              <w:contextualSpacing/>
              <w:jc w:val="center"/>
              <w:rPr>
                <w:rFonts w:ascii="Times New Roman" w:hAnsi="Times New Roman" w:cs="Times New Roman"/>
                <w:bCs/>
                <w:sz w:val="24"/>
                <w:szCs w:val="24"/>
                <w:lang w:eastAsia="ar-SA"/>
              </w:rPr>
            </w:pPr>
            <w:r>
              <w:rPr>
                <w:rFonts w:cs="Times New Roman" w:ascii="Times New Roman" w:hAnsi="Times New Roman"/>
                <w:bCs/>
                <w:sz w:val="24"/>
                <w:szCs w:val="24"/>
                <w:lang w:eastAsia="ar-SA"/>
              </w:rPr>
              <w:t>Опис технічних вимог (марка, модель, характеристики та ін.), які визначені Замовником</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ind w:left="14" w:firstLine="40"/>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(марка, модель, характеристики та ін.), які  пропонуються Учасником</w:t>
            </w:r>
          </w:p>
        </w:tc>
      </w:tr>
    </w:tbl>
    <w:p>
      <w:pPr>
        <w:pStyle w:val="Normal"/>
        <w:spacing w:lineRule="auto" w:line="240" w:before="0" w:after="16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r>
    </w:p>
    <w:p>
      <w:pPr>
        <w:pStyle w:val="Normal"/>
        <w:spacing w:lineRule="auto" w:line="240" w:before="0" w:after="160"/>
        <w:contextualSpacing/>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spacing w:lineRule="auto" w:line="240"/>
        <w:ind w:firstLine="263"/>
        <w:jc w:val="both"/>
        <w:rPr>
          <w:rFonts w:ascii="Times New Roman" w:hAnsi="Times New Roman" w:cs="Times New Roman"/>
          <w:b/>
          <w:b/>
          <w:i/>
          <w:i/>
          <w:sz w:val="24"/>
          <w:szCs w:val="24"/>
        </w:rPr>
      </w:pPr>
      <w:r>
        <w:rPr>
          <w:rFonts w:cs="Times New Roman" w:ascii="Times New Roman" w:hAnsi="Times New Roman"/>
          <w:b/>
          <w:i/>
          <w:sz w:val="24"/>
          <w:szCs w:val="24"/>
        </w:rPr>
        <w:t>Технічні характеристики для порівняння товару з боку Замовника зазначені в Специфікації та на сайті виробника товару, що зазначив Замовник та будуть використані для порівняння з характеристиками, що подасть Учасник в тендерній пропозиції та таблиці відповідності.</w:t>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t>Товар повинен відповідати вимогам:</w:t>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t>- Закону України від 14.08.2014р. № 1644-VІІ «Про санкції»,</w:t>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ind w:firstLine="263"/>
        <w:jc w:val="both"/>
        <w:rPr>
          <w:rFonts w:ascii="Times New Roman" w:hAnsi="Times New Roman" w:cs="Times New Roman"/>
          <w:bCs/>
          <w:iCs/>
          <w:sz w:val="24"/>
          <w:szCs w:val="24"/>
        </w:rPr>
      </w:pPr>
      <w:r>
        <w:rPr>
          <w:rFonts w:cs="Times New Roman" w:ascii="Times New Roman" w:hAnsi="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ind w:firstLine="263"/>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ListParagraph"/>
        <w:spacing w:lineRule="auto" w:line="240"/>
        <w:ind w:left="0" w:firstLine="567"/>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t>СПЕЦИФІКАЦІЯ:</w:t>
      </w:r>
    </w:p>
    <w:p>
      <w:pPr>
        <w:pStyle w:val="ListParagraph"/>
        <w:spacing w:lineRule="auto" w:line="240"/>
        <w:ind w:left="0" w:firstLine="567"/>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r>
    </w:p>
    <w:tbl>
      <w:tblPr>
        <w:tblW w:w="963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50"/>
        <w:gridCol w:w="5814"/>
        <w:gridCol w:w="1558"/>
        <w:gridCol w:w="1416"/>
      </w:tblGrid>
      <w:tr>
        <w:trPr>
          <w:trHeight w:val="375"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rPr>
                <w:rFonts w:ascii="Times New Roman" w:hAnsi="Times New Roman"/>
                <w:b/>
                <w:b/>
                <w:bCs/>
                <w:sz w:val="24"/>
                <w:szCs w:val="24"/>
              </w:rPr>
            </w:pPr>
            <w:r>
              <w:rPr>
                <w:rFonts w:ascii="Times New Roman" w:hAnsi="Times New Roman"/>
                <w:b/>
                <w:bCs/>
                <w:sz w:val="24"/>
                <w:szCs w:val="24"/>
              </w:rPr>
              <w:t xml:space="preserve">№ </w:t>
            </w:r>
            <w:r>
              <w:rPr>
                <w:rFonts w:ascii="Times New Roman" w:hAnsi="Times New Roman"/>
                <w:b/>
                <w:bCs/>
                <w:sz w:val="24"/>
                <w:szCs w:val="24"/>
              </w:rPr>
              <w:t>з/п</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Найменування товару</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rPr>
                <w:rFonts w:ascii="Times New Roman" w:hAnsi="Times New Roman"/>
                <w:b/>
                <w:b/>
                <w:bCs/>
                <w:sz w:val="24"/>
                <w:szCs w:val="24"/>
              </w:rPr>
            </w:pPr>
            <w:r>
              <w:rPr>
                <w:rFonts w:ascii="Times New Roman" w:hAnsi="Times New Roman"/>
                <w:b/>
                <w:bCs/>
                <w:sz w:val="24"/>
                <w:szCs w:val="24"/>
              </w:rPr>
              <w:t>Од. виміру</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Кількість</w:t>
            </w:r>
          </w:p>
        </w:tc>
      </w:tr>
      <w:tr>
        <w:trPr>
          <w:trHeight w:val="267"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sz w:val="24"/>
                <w:szCs w:val="24"/>
              </w:rPr>
            </w:pPr>
            <w:r>
              <w:rPr>
                <w:rFonts w:ascii="Times New Roman" w:hAnsi="Times New Roman"/>
                <w:b/>
                <w:bCs/>
                <w:sz w:val="24"/>
                <w:szCs w:val="24"/>
              </w:rPr>
              <w:t>1</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sz w:val="24"/>
                <w:szCs w:val="24"/>
              </w:rPr>
            </w:pPr>
            <w:r>
              <w:rPr>
                <w:rFonts w:ascii="Times New Roman" w:hAnsi="Times New Roman"/>
                <w:b/>
                <w:bCs/>
                <w:sz w:val="24"/>
                <w:szCs w:val="24"/>
              </w:rPr>
              <w:t xml:space="preserve">Пилосос для хімічної чистки </w:t>
            </w:r>
            <w:r>
              <w:rPr>
                <w:rFonts w:ascii="Times New Roman" w:hAnsi="Times New Roman"/>
                <w:b/>
                <w:bCs/>
                <w:sz w:val="24"/>
                <w:szCs w:val="24"/>
                <w:lang w:val="en-US"/>
              </w:rPr>
              <w:t>Puzzi 8</w:t>
            </w:r>
            <w:r>
              <w:rPr>
                <w:rFonts w:ascii="Times New Roman" w:hAnsi="Times New Roman"/>
                <w:b/>
                <w:bCs/>
                <w:sz w:val="24"/>
                <w:szCs w:val="24"/>
              </w:rPr>
              <w:t>/</w:t>
            </w:r>
            <w:r>
              <w:rPr>
                <w:rFonts w:ascii="Times New Roman" w:hAnsi="Times New Roman"/>
                <w:b/>
                <w:bCs/>
                <w:sz w:val="24"/>
                <w:szCs w:val="24"/>
                <w:lang w:val="en-US"/>
              </w:rPr>
              <w:t>1Adv</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w:t>
            </w:r>
          </w:p>
        </w:tc>
      </w:tr>
      <w:tr>
        <w:trPr>
          <w:trHeight w:val="1266"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25" w:leader="none"/>
              </w:tabs>
              <w:spacing w:lineRule="auto" w:line="240"/>
              <w:rPr>
                <w:rFonts w:ascii="Times New Roman" w:hAnsi="Times New Roman" w:cs="Times New Roman"/>
                <w:sz w:val="24"/>
                <w:szCs w:val="24"/>
              </w:rPr>
            </w:pPr>
            <w:r>
              <w:rPr>
                <w:rFonts w:cs="Times New Roman" w:ascii="Times New Roman" w:hAnsi="Times New Roman"/>
                <w:sz w:val="24"/>
                <w:szCs w:val="24"/>
              </w:rPr>
              <w:t>- Макс. продуктивність по площі: 12 – 18 м²/год - Витрата повітря: 71 л/с - Витрата миючого розчину: 1 л/хв - Об'єм баків для чистої / брудної води: 8 / 7 л - Колір: антрацит - Маса (без приладдя):8.6 кг - Вага (з упаковкою): 14 кг - Розміри (Д×Ш×В): 524 x 332 x 442 мм</w:t>
            </w:r>
          </w:p>
          <w:p>
            <w:pPr>
              <w:pStyle w:val="Normal"/>
              <w:widowControl w:val="false"/>
              <w:tabs>
                <w:tab w:val="clear" w:pos="708"/>
                <w:tab w:val="left" w:pos="1425" w:leader="none"/>
              </w:tabs>
              <w:spacing w:lineRule="auto" w:line="240" w:before="0" w:after="160"/>
              <w:rPr>
                <w:rFonts w:ascii="Times New Roman" w:hAnsi="Times New Roman" w:cs="Times New Roman"/>
                <w:sz w:val="24"/>
                <w:szCs w:val="24"/>
              </w:rPr>
            </w:pPr>
            <w:r>
              <w:rPr/>
              <w:drawing>
                <wp:inline distT="0" distB="0" distL="0" distR="0">
                  <wp:extent cx="3324225" cy="2971800"/>
                  <wp:effectExtent l="0" t="0" r="0" b="0"/>
                  <wp:docPr id="1" name="Рисунок 11" descr="Зображення, що містить пилосос, прилад, Засоби для прибиранн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1" descr="Зображення, що містить пилосос, прилад, Засоби для прибирання&#10;&#10;Автоматично згенерований опис"/>
                          <pic:cNvPicPr>
                            <a:picLocks noChangeAspect="1" noChangeArrowheads="1"/>
                          </pic:cNvPicPr>
                        </pic:nvPicPr>
                        <pic:blipFill>
                          <a:blip r:embed="rId2"/>
                          <a:stretch>
                            <a:fillRect/>
                          </a:stretch>
                        </pic:blipFill>
                        <pic:spPr bwMode="auto">
                          <a:xfrm>
                            <a:off x="0" y="0"/>
                            <a:ext cx="3324225" cy="297180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2</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Пилосос </w:t>
            </w:r>
            <w:r>
              <w:rPr>
                <w:rFonts w:ascii="Times New Roman" w:hAnsi="Times New Roman"/>
                <w:b/>
                <w:bCs/>
                <w:sz w:val="24"/>
                <w:szCs w:val="24"/>
                <w:lang w:val="en-US"/>
              </w:rPr>
              <w:t>WD 4 V-20</w:t>
            </w:r>
            <w:r>
              <w:rPr>
                <w:rFonts w:ascii="Times New Roman" w:hAnsi="Times New Roman"/>
                <w:b/>
                <w:bCs/>
                <w:sz w:val="24"/>
                <w:szCs w:val="24"/>
              </w:rPr>
              <w:t>/</w:t>
            </w:r>
            <w:r>
              <w:rPr>
                <w:rFonts w:ascii="Times New Roman" w:hAnsi="Times New Roman"/>
                <w:b/>
                <w:bCs/>
                <w:sz w:val="24"/>
                <w:szCs w:val="24"/>
                <w:lang w:val="en-US"/>
              </w:rPr>
              <w:t>5</w:t>
            </w:r>
            <w:r>
              <w:rPr>
                <w:rFonts w:ascii="Times New Roman" w:hAnsi="Times New Roman"/>
                <w:b/>
                <w:bCs/>
                <w:sz w:val="24"/>
                <w:szCs w:val="24"/>
              </w:rPr>
              <w:t>/</w:t>
            </w:r>
            <w:r>
              <w:rPr>
                <w:rFonts w:ascii="Times New Roman" w:hAnsi="Times New Roman"/>
                <w:b/>
                <w:bCs/>
                <w:sz w:val="24"/>
                <w:szCs w:val="24"/>
                <w:lang w:val="en-US"/>
              </w:rPr>
              <w:t>22</w:t>
            </w:r>
            <w:r>
              <w:rPr>
                <w:rFonts w:ascii="Times New Roman" w:hAnsi="Times New Roman"/>
                <w:b/>
                <w:bCs/>
                <w:sz w:val="24"/>
                <w:szCs w:val="24"/>
              </w:rPr>
              <w:t xml:space="preserve"> *</w:t>
            </w:r>
            <w:r>
              <w:rPr>
                <w:rFonts w:ascii="Times New Roman" w:hAnsi="Times New Roman"/>
                <w:b/>
                <w:bCs/>
                <w:sz w:val="24"/>
                <w:szCs w:val="24"/>
                <w:lang w:val="en-US"/>
              </w:rPr>
              <w:t>EU</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2</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both"/>
              <w:rPr>
                <w:rFonts w:ascii="Times New Roman" w:hAnsi="Times New Roman"/>
                <w:sz w:val="24"/>
                <w:szCs w:val="24"/>
                <w:lang w:val="ru-RU"/>
              </w:rPr>
            </w:pPr>
            <w:r>
              <w:rPr>
                <w:rFonts w:ascii="Times New Roman" w:hAnsi="Times New Roman"/>
                <w:sz w:val="24"/>
                <w:szCs w:val="24"/>
                <w:lang w:val="ru-RU"/>
              </w:rPr>
              <w:t>- Споживана потужність: 1000 Вт - Практична функція видування: так - Ємність контейнера: 20 л - Матеріал сміттєзбірника: Пластик - Довжина кабелю:5 м - Номін. діаметр приладдя: 35 мм - Параметри електромережі: 220 – 240 / 50 – 60 В / Гц - Колір: жовтий - Маса (без приладдя):6.84 кг - Вага (з упаковкою): 9.6 кг - Розміри (Д×Ш×В): 384 x 365 x 526 мм</w:t>
            </w:r>
          </w:p>
          <w:p>
            <w:pPr>
              <w:pStyle w:val="11"/>
              <w:widowControl w:val="false"/>
              <w:jc w:val="both"/>
              <w:rPr>
                <w:rFonts w:ascii="Times New Roman" w:hAnsi="Times New Roman"/>
                <w:b/>
                <w:b/>
                <w:bCs/>
                <w:sz w:val="24"/>
                <w:szCs w:val="24"/>
              </w:rPr>
            </w:pPr>
            <w:r>
              <w:rPr/>
              <w:drawing>
                <wp:inline distT="0" distB="0" distL="0" distR="0">
                  <wp:extent cx="3209925" cy="2762250"/>
                  <wp:effectExtent l="0" t="0" r="0" b="0"/>
                  <wp:docPr id="2" name="Рисунок 7" descr="Зображення, що містить прилад, пилосос&#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Зображення, що містить прилад, пилосос&#10;&#10;Автоматично згенерований опис"/>
                          <pic:cNvPicPr>
                            <a:picLocks noChangeAspect="1" noChangeArrowheads="1"/>
                          </pic:cNvPicPr>
                        </pic:nvPicPr>
                        <pic:blipFill>
                          <a:blip r:embed="rId3"/>
                          <a:stretch>
                            <a:fillRect/>
                          </a:stretch>
                        </pic:blipFill>
                        <pic:spPr bwMode="auto">
                          <a:xfrm>
                            <a:off x="0" y="0"/>
                            <a:ext cx="3209925" cy="276225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3</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Пилосос для сухого прибирання Т 11/1 </w:t>
            </w:r>
            <w:r>
              <w:rPr>
                <w:rFonts w:ascii="Times New Roman" w:hAnsi="Times New Roman"/>
                <w:b/>
                <w:bCs/>
                <w:sz w:val="24"/>
                <w:szCs w:val="24"/>
                <w:lang w:val="en-US"/>
              </w:rPr>
              <w:t>Classic</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12</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both"/>
              <w:rPr>
                <w:rFonts w:ascii="Times New Roman" w:hAnsi="Times New Roman"/>
                <w:sz w:val="24"/>
                <w:szCs w:val="24"/>
                <w:lang w:val="ru-RU"/>
              </w:rPr>
            </w:pPr>
            <w:r>
              <w:rPr>
                <w:rFonts w:ascii="Times New Roman" w:hAnsi="Times New Roman"/>
                <w:sz w:val="24"/>
                <w:szCs w:val="24"/>
                <w:lang w:val="ru-RU"/>
              </w:rPr>
              <w:t>Витрата повітря: 40 l/s - Споживана потужність: 850 W - Об'єм сміттєзбірника:11 l - Матеріал сміттєзбірника: Пластик - Стандартна номінальна ширина: DN 35 - Довжина кабелю:7.5 m - Рівень звукового тиску: 61 dB(A) - Колір: антрацит - Маса (без приладдя):3.915 kg - Маса (з упаковкою): 5.901 kg - Розміри (Д × Ш × В): 385 x 285 x 385 mm</w:t>
            </w:r>
          </w:p>
          <w:p>
            <w:pPr>
              <w:pStyle w:val="11"/>
              <w:widowControl w:val="false"/>
              <w:jc w:val="both"/>
              <w:rPr>
                <w:rFonts w:ascii="Times New Roman" w:hAnsi="Times New Roman"/>
                <w:b/>
                <w:b/>
                <w:bCs/>
                <w:sz w:val="24"/>
                <w:szCs w:val="24"/>
              </w:rPr>
            </w:pPr>
            <w:r>
              <w:rPr/>
              <w:drawing>
                <wp:inline distT="0" distB="0" distL="0" distR="0">
                  <wp:extent cx="2009775" cy="2019300"/>
                  <wp:effectExtent l="0" t="0" r="0" b="0"/>
                  <wp:docPr id="3" name="Рисунок 2" descr="Зображення, що містить прилад, пилосос&#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Зображення, що містить прилад, пилосос&#10;&#10;Автоматично згенерований опис"/>
                          <pic:cNvPicPr>
                            <a:picLocks noChangeAspect="1" noChangeArrowheads="1"/>
                          </pic:cNvPicPr>
                        </pic:nvPicPr>
                        <pic:blipFill>
                          <a:blip r:embed="rId4"/>
                          <a:stretch>
                            <a:fillRect/>
                          </a:stretch>
                        </pic:blipFill>
                        <pic:spPr bwMode="auto">
                          <a:xfrm>
                            <a:off x="0" y="0"/>
                            <a:ext cx="2009775" cy="201930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4</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Фільтр мішки флісові</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30</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647950" cy="2514600"/>
                  <wp:effectExtent l="0" t="0" r="0" b="0"/>
                  <wp:docPr id="4" name="Рисунок 3" descr="Зображення, що містить папір, рушник&#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Зображення, що містить папір, рушник&#10;&#10;Автоматично згенерований опис"/>
                          <pic:cNvPicPr>
                            <a:picLocks noChangeAspect="1" noChangeArrowheads="1"/>
                          </pic:cNvPicPr>
                        </pic:nvPicPr>
                        <pic:blipFill>
                          <a:blip r:embed="rId5"/>
                          <a:stretch>
                            <a:fillRect/>
                          </a:stretch>
                        </pic:blipFill>
                        <pic:spPr bwMode="auto">
                          <a:xfrm>
                            <a:off x="0" y="0"/>
                            <a:ext cx="2647950" cy="251460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5</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Фільтруючий елемент в зборі  для заміни</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10</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619375" cy="2095500"/>
                  <wp:effectExtent l="0" t="0" r="0" b="0"/>
                  <wp:docPr id="5" name="Рисунок 4" descr="Зображення, що містить чорно-білий, білий, чорний&#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Зображення, що містить чорно-білий, білий, чорний&#10;&#10;Автоматично згенерований опис"/>
                          <pic:cNvPicPr>
                            <a:picLocks noChangeAspect="1" noChangeArrowheads="1"/>
                          </pic:cNvPicPr>
                        </pic:nvPicPr>
                        <pic:blipFill>
                          <a:blip r:embed="rId6"/>
                          <a:stretch>
                            <a:fillRect/>
                          </a:stretch>
                        </pic:blipFill>
                        <pic:spPr bwMode="auto">
                          <a:xfrm>
                            <a:off x="0" y="0"/>
                            <a:ext cx="2619375" cy="209550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6</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Фільт захисту двигуна</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10</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781300" cy="2209800"/>
                  <wp:effectExtent l="0" t="0" r="0" b="0"/>
                  <wp:docPr id="6" name="Рисунок 5" descr="Зображення, що містить Прямокутник, сірий, рушник&#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Зображення, що містить Прямокутник, сірий, рушник&#10;&#10;Автоматично згенерований опис"/>
                          <pic:cNvPicPr>
                            <a:picLocks noChangeAspect="1" noChangeArrowheads="1"/>
                          </pic:cNvPicPr>
                        </pic:nvPicPr>
                        <pic:blipFill>
                          <a:blip r:embed="rId7"/>
                          <a:stretch>
                            <a:fillRect/>
                          </a:stretch>
                        </pic:blipFill>
                        <pic:spPr bwMode="auto">
                          <a:xfrm>
                            <a:off x="0" y="0"/>
                            <a:ext cx="2781300" cy="220980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7</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Комплект насадок </w:t>
            </w:r>
            <w:r>
              <w:rPr>
                <w:rFonts w:ascii="Times New Roman" w:hAnsi="Times New Roman"/>
                <w:b/>
                <w:bCs/>
                <w:sz w:val="24"/>
                <w:szCs w:val="24"/>
                <w:lang w:val="en-US"/>
              </w:rPr>
              <w:t>DN35</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5</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647950" cy="2076450"/>
                  <wp:effectExtent l="0" t="0" r="0" b="0"/>
                  <wp:docPr id="7" name="Рисунок 6" descr="Зображення, що містить дизайн, рукоят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Зображення, що містить дизайн, рукоятка&#10;&#10;Автоматично згенерований опис"/>
                          <pic:cNvPicPr>
                            <a:picLocks noChangeAspect="1" noChangeArrowheads="1"/>
                          </pic:cNvPicPr>
                        </pic:nvPicPr>
                        <pic:blipFill>
                          <a:blip r:embed="rId8"/>
                          <a:stretch>
                            <a:fillRect/>
                          </a:stretch>
                        </pic:blipFill>
                        <pic:spPr bwMode="auto">
                          <a:xfrm>
                            <a:off x="0" y="0"/>
                            <a:ext cx="2647950" cy="2076450"/>
                          </a:xfrm>
                          <a:prstGeom prst="rect">
                            <a:avLst/>
                          </a:prstGeom>
                        </pic:spPr>
                      </pic:pic>
                    </a:graphicData>
                  </a:graphic>
                </wp:inline>
              </w:drawing>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8</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Плоский складчастий фільтр </w:t>
            </w:r>
            <w:r>
              <w:rPr>
                <w:rFonts w:ascii="Times New Roman" w:hAnsi="Times New Roman"/>
                <w:b/>
                <w:bCs/>
                <w:sz w:val="24"/>
                <w:szCs w:val="24"/>
                <w:lang w:val="en-US"/>
              </w:rPr>
              <w:t xml:space="preserve">MV </w:t>
            </w:r>
            <w:r>
              <w:rPr>
                <w:rFonts w:ascii="Times New Roman" w:hAnsi="Times New Roman"/>
                <w:b/>
                <w:bCs/>
                <w:sz w:val="24"/>
                <w:szCs w:val="24"/>
              </w:rPr>
              <w:t>4/5/6</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2</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762250" cy="2305050"/>
                  <wp:effectExtent l="0" t="0" r="0" b="0"/>
                  <wp:docPr id="8" name="Рисунок 8" descr="Зображення, що містить щітка, у приміщенні, дизайн&#10;&#10;Автоматично згенерований опис із середнім рівнем достовірно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Зображення, що містить щітка, у приміщенні, дизайн&#10;&#10;Автоматично згенерований опис із середнім рівнем достовірності"/>
                          <pic:cNvPicPr>
                            <a:picLocks noChangeAspect="1" noChangeArrowheads="1"/>
                          </pic:cNvPicPr>
                        </pic:nvPicPr>
                        <pic:blipFill>
                          <a:blip r:embed="rId9"/>
                          <a:stretch>
                            <a:fillRect/>
                          </a:stretch>
                        </pic:blipFill>
                        <pic:spPr bwMode="auto">
                          <a:xfrm>
                            <a:off x="0" y="0"/>
                            <a:ext cx="2762250" cy="2305050"/>
                          </a:xfrm>
                          <a:prstGeom prst="rect">
                            <a:avLst/>
                          </a:prstGeom>
                        </pic:spPr>
                      </pic:pic>
                    </a:graphicData>
                  </a:graphic>
                </wp:inline>
              </w:drawing>
            </w:r>
          </w:p>
          <w:p>
            <w:pPr>
              <w:pStyle w:val="11"/>
              <w:widowControl w:val="false"/>
              <w:rPr>
                <w:rFonts w:ascii="Times New Roman" w:hAnsi="Times New Roman"/>
                <w:sz w:val="24"/>
                <w:szCs w:val="24"/>
              </w:rPr>
            </w:pPr>
            <w:r>
              <w:rPr>
                <w:rFonts w:ascii="Times New Roman" w:hAnsi="Times New Roman"/>
                <w:sz w:val="24"/>
                <w:szCs w:val="24"/>
                <w:lang w:val="ru-RU"/>
              </w:rPr>
              <w:t>Плоский складчастий фільтр встановлюється в касету для швидкої і простої заміни без контакту з брудом. Дозволяє чергувати операції вологого і сухого прибирання без заміни фільтра.</w:t>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9</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Флісові фільтр-мішки для </w:t>
            </w:r>
            <w:r>
              <w:rPr>
                <w:rFonts w:ascii="Times New Roman" w:hAnsi="Times New Roman"/>
                <w:b/>
                <w:bCs/>
                <w:sz w:val="24"/>
                <w:szCs w:val="24"/>
                <w:lang w:val="en-US"/>
              </w:rPr>
              <w:t xml:space="preserve">MV </w:t>
            </w:r>
            <w:r>
              <w:rPr>
                <w:rFonts w:ascii="Times New Roman" w:hAnsi="Times New Roman"/>
                <w:b/>
                <w:bCs/>
                <w:sz w:val="24"/>
                <w:szCs w:val="24"/>
              </w:rPr>
              <w:t>4/5/6</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10</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sz w:val="24"/>
                <w:szCs w:val="24"/>
              </w:rPr>
            </w:pPr>
            <w:r>
              <w:rPr/>
              <w:drawing>
                <wp:inline distT="0" distB="0" distL="0" distR="0">
                  <wp:extent cx="2619375" cy="192405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10"/>
                          <a:stretch>
                            <a:fillRect/>
                          </a:stretch>
                        </pic:blipFill>
                        <pic:spPr bwMode="auto">
                          <a:xfrm>
                            <a:off x="0" y="0"/>
                            <a:ext cx="2619375" cy="1924050"/>
                          </a:xfrm>
                          <a:prstGeom prst="rect">
                            <a:avLst/>
                          </a:prstGeom>
                        </pic:spPr>
                      </pic:pic>
                    </a:graphicData>
                  </a:graphic>
                </wp:inline>
              </w:drawing>
            </w:r>
          </w:p>
          <w:p>
            <w:pPr>
              <w:pStyle w:val="11"/>
              <w:widowControl w:val="false"/>
              <w:rPr>
                <w:rFonts w:ascii="Times New Roman" w:hAnsi="Times New Roman"/>
                <w:b/>
                <w:b/>
                <w:bCs/>
                <w:sz w:val="24"/>
                <w:szCs w:val="24"/>
              </w:rPr>
            </w:pPr>
            <w:r>
              <w:rPr>
                <w:rFonts w:ascii="Times New Roman" w:hAnsi="Times New Roman"/>
                <w:sz w:val="24"/>
                <w:szCs w:val="24"/>
                <w:lang w:val="ru-RU"/>
              </w:rPr>
              <w:t>Виключно міцний на розрив фільтр-мішок, з високою ефективністю фільтрації. Значно продовжує час роботи в порівнянні з паперовими фільтр-мішками.</w:t>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10</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rPr>
              <w:t xml:space="preserve">Побутовий комплект </w:t>
            </w:r>
            <w:r>
              <w:rPr>
                <w:rFonts w:ascii="Times New Roman" w:hAnsi="Times New Roman"/>
                <w:b/>
                <w:bCs/>
                <w:sz w:val="24"/>
                <w:szCs w:val="24"/>
                <w:lang w:val="en-US"/>
              </w:rPr>
              <w:t>MV</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2</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both"/>
              <w:rPr>
                <w:rFonts w:ascii="Times New Roman" w:hAnsi="Times New Roman"/>
                <w:sz w:val="24"/>
                <w:szCs w:val="24"/>
              </w:rPr>
            </w:pPr>
            <w:r>
              <w:rPr/>
              <w:drawing>
                <wp:inline distT="0" distB="0" distL="0" distR="0">
                  <wp:extent cx="2705100" cy="2333625"/>
                  <wp:effectExtent l="0" t="0" r="0" b="0"/>
                  <wp:docPr id="10" name="Рисунок 10" descr="Зображення, що містить рукоят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Зображення, що містить рукоятка&#10;&#10;Автоматично згенерований опис"/>
                          <pic:cNvPicPr>
                            <a:picLocks noChangeAspect="1" noChangeArrowheads="1"/>
                          </pic:cNvPicPr>
                        </pic:nvPicPr>
                        <pic:blipFill>
                          <a:blip r:embed="rId11"/>
                          <a:stretch>
                            <a:fillRect/>
                          </a:stretch>
                        </pic:blipFill>
                        <pic:spPr bwMode="auto">
                          <a:xfrm>
                            <a:off x="0" y="0"/>
                            <a:ext cx="2705100" cy="2333625"/>
                          </a:xfrm>
                          <a:prstGeom prst="rect">
                            <a:avLst/>
                          </a:prstGeom>
                        </pic:spPr>
                      </pic:pic>
                    </a:graphicData>
                  </a:graphic>
                </wp:inline>
              </w:drawing>
            </w:r>
          </w:p>
          <w:p>
            <w:pPr>
              <w:pStyle w:val="11"/>
              <w:widowControl w:val="false"/>
              <w:jc w:val="both"/>
              <w:rPr>
                <w:rFonts w:ascii="Times New Roman" w:hAnsi="Times New Roman"/>
                <w:b/>
                <w:b/>
                <w:bCs/>
                <w:sz w:val="24"/>
                <w:szCs w:val="24"/>
              </w:rPr>
            </w:pPr>
            <w:r>
              <w:rPr>
                <w:rFonts w:ascii="Times New Roman" w:hAnsi="Times New Roman"/>
                <w:sz w:val="24"/>
                <w:szCs w:val="24"/>
                <w:lang w:val="ru-RU"/>
              </w:rPr>
              <w:t>Комплект для прибирання вдома перетворює господарський пилосос WD на пилосос для дому. Напольная насадка, що перемикається, підходить для прибирання, як килимових, так і твердих покриттів. Насадка для меблів дбайливо очищає текстильні покриття та оббивку.</w:t>
            </w:r>
          </w:p>
        </w:tc>
      </w:tr>
      <w:tr>
        <w:trPr>
          <w:trHeight w:val="409"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11</w:t>
            </w:r>
          </w:p>
        </w:tc>
        <w:tc>
          <w:tcPr>
            <w:tcW w:w="5814"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jc w:val="center"/>
              <w:rPr>
                <w:rFonts w:ascii="Times New Roman" w:hAnsi="Times New Roman"/>
                <w:b/>
                <w:b/>
                <w:bCs/>
                <w:sz w:val="24"/>
                <w:szCs w:val="24"/>
              </w:rPr>
            </w:pPr>
            <w:r>
              <w:rPr>
                <w:rFonts w:ascii="Times New Roman" w:hAnsi="Times New Roman"/>
                <w:b/>
                <w:bCs/>
                <w:sz w:val="24"/>
                <w:szCs w:val="24"/>
                <w:lang w:val="en-US"/>
              </w:rPr>
              <w:t xml:space="preserve">RM </w:t>
            </w:r>
            <w:r>
              <w:rPr>
                <w:rFonts w:ascii="Times New Roman" w:hAnsi="Times New Roman"/>
                <w:b/>
                <w:bCs/>
                <w:sz w:val="24"/>
                <w:szCs w:val="24"/>
              </w:rPr>
              <w:t>760 (10 кг) засіб для чистки килимів</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шт.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jc w:val="center"/>
              <w:rPr>
                <w:rFonts w:ascii="Times New Roman" w:hAnsi="Times New Roman"/>
                <w:b/>
                <w:b/>
                <w:bCs/>
                <w:sz w:val="24"/>
                <w:szCs w:val="24"/>
              </w:rPr>
            </w:pPr>
            <w:r>
              <w:rPr>
                <w:rFonts w:ascii="Times New Roman" w:hAnsi="Times New Roman"/>
                <w:b/>
                <w:bCs/>
                <w:sz w:val="24"/>
                <w:szCs w:val="24"/>
              </w:rPr>
              <w:t>1</w:t>
            </w:r>
          </w:p>
        </w:tc>
      </w:tr>
      <w:tr>
        <w:trPr>
          <w:trHeight w:val="409"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
              <w:widowControl w:val="false"/>
              <w:rPr>
                <w:rFonts w:ascii="Times New Roman" w:hAnsi="Times New Roman"/>
                <w:b/>
                <w:b/>
                <w:bCs/>
                <w:sz w:val="24"/>
                <w:szCs w:val="24"/>
              </w:rPr>
            </w:pPr>
            <w:r>
              <w:rPr/>
              <w:drawing>
                <wp:inline distT="0" distB="0" distL="0" distR="0">
                  <wp:extent cx="2571750" cy="2600325"/>
                  <wp:effectExtent l="0" t="0" r="0" b="0"/>
                  <wp:docPr id="11" name="Рисунок 12" descr="Зображення, що містить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2" descr="Зображення, що містить у приміщенні&#10;&#10;Автоматично згенерований опис"/>
                          <pic:cNvPicPr>
                            <a:picLocks noChangeAspect="1" noChangeArrowheads="1"/>
                          </pic:cNvPicPr>
                        </pic:nvPicPr>
                        <pic:blipFill>
                          <a:blip r:embed="rId12"/>
                          <a:stretch>
                            <a:fillRect/>
                          </a:stretch>
                        </pic:blipFill>
                        <pic:spPr bwMode="auto">
                          <a:xfrm>
                            <a:off x="0" y="0"/>
                            <a:ext cx="2571750" cy="2600325"/>
                          </a:xfrm>
                          <a:prstGeom prst="rect">
                            <a:avLst/>
                          </a:prstGeom>
                        </pic:spPr>
                      </pic:pic>
                    </a:graphicData>
                  </a:graphic>
                </wp:inline>
              </w:drawing>
            </w:r>
          </w:p>
        </w:tc>
      </w:tr>
    </w:tbl>
    <w:p>
      <w:pPr>
        <w:pStyle w:val="Normal"/>
        <w:tabs>
          <w:tab w:val="clear" w:pos="708"/>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567"/>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Normal"/>
        <w:spacing w:lineRule="auto" w:line="240"/>
        <w:ind w:firstLine="263"/>
        <w:jc w:val="both"/>
        <w:rPr>
          <w:rFonts w:ascii="Times New Roman" w:hAnsi="Times New Roman" w:cs="Times New Roman"/>
          <w:i/>
          <w:i/>
          <w:sz w:val="24"/>
          <w:szCs w:val="24"/>
        </w:rPr>
      </w:pPr>
      <w:r>
        <w:rPr>
          <w:rFonts w:cs="Times New Roman" w:ascii="Times New Roman" w:hAnsi="Times New Roman"/>
          <w:i/>
          <w:sz w:val="24"/>
          <w:szCs w:val="24"/>
        </w:rPr>
        <w:t>У разі, якщо у цій тендерній документації (у тому числі у технічній специфікації) міститься посилання:</w:t>
      </w:r>
    </w:p>
    <w:p>
      <w:pPr>
        <w:pStyle w:val="Normal"/>
        <w:spacing w:lineRule="auto" w:line="240"/>
        <w:ind w:firstLine="263"/>
        <w:jc w:val="both"/>
        <w:rPr>
          <w:rFonts w:ascii="Times New Roman" w:hAnsi="Times New Roman" w:cs="Times New Roman"/>
          <w:i/>
          <w:i/>
          <w:sz w:val="24"/>
          <w:szCs w:val="24"/>
        </w:rPr>
      </w:pPr>
      <w:r>
        <w:rPr>
          <w:rFonts w:cs="Times New Roman" w:ascii="Times New Roman" w:hAnsi="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pPr>
        <w:pStyle w:val="Normal"/>
        <w:spacing w:lineRule="auto" w:line="240"/>
        <w:ind w:firstLine="567"/>
        <w:jc w:val="both"/>
        <w:rPr>
          <w:rFonts w:ascii="Times New Roman" w:hAnsi="Times New Roman" w:cs="Times New Roman"/>
          <w:sz w:val="24"/>
          <w:szCs w:val="24"/>
        </w:rPr>
      </w:pPr>
      <w:r>
        <w:rPr>
          <w:rFonts w:cs="Times New Roman" w:ascii="Times New Roman" w:hAnsi="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155 514,58 грн. (сто п’ятдесят п’ять тисяч п’ятсот чотирнадцять гривень 58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13"/>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Style17">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Collabora_Office/22.05.20.1$Linux_X86_64 LibreOffice_project/bd9263bb6d0222e89e44fbff51d0d094dad8e281</Application>
  <AppVersion>15.0000</AppVersion>
  <Pages>8</Pages>
  <Words>1721</Words>
  <Characters>10912</Characters>
  <CharactersWithSpaces>12508</CharactersWithSpaces>
  <Paragraphs>156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2024-09-26T13:17:00Z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