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столів робочих за кодом CPV за ЄЗС ДК 021:2015: 39130000-2 Офісні меблі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1247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Закупівля столів робочих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bookmarkStart w:id="0" w:name="_Hlk133583335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92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eastAsia="Times New Roman"/>
                <w:b/>
                <w:bCs/>
                <w:lang w:val="ru-RU"/>
              </w:rPr>
            </w:pPr>
            <w:r>
              <w:rPr>
                <w:rFonts w:eastAsia="Times New Roman"/>
                <w:b/>
                <w:bCs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Назва 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4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694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Стіл робочий 700*500*750 мм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4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4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шт</w:t>
            </w:r>
            <w:r/>
          </w:p>
        </w:tc>
      </w:tr>
    </w:tbl>
    <w:p>
      <w:pPr>
        <w:pStyle w:val="694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pStyle w:val="694"/>
        <w:jc w:val="both"/>
        <w:spacing w:after="0" w:line="240" w:lineRule="auto"/>
        <w:rPr>
          <w:rFonts w:eastAsia="Times New Roman"/>
          <w:b/>
          <w:bCs/>
          <w:i/>
          <w:iCs/>
          <w:lang w:eastAsia="uk-UA"/>
        </w:rPr>
      </w:pPr>
      <w:r>
        <w:rPr>
          <w:rFonts w:eastAsia="Times New Roman"/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eastAsia="Times New Roman"/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eastAsia="Times New Roman"/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eastAsia="Times New Roman"/>
          <w:b/>
          <w:bCs/>
          <w:i/>
          <w:iCs/>
          <w:lang w:eastAsia="ru-RU"/>
        </w:rPr>
        <w:t xml:space="preserve">проєкту</w:t>
      </w:r>
      <w:r>
        <w:rPr>
          <w:rFonts w:eastAsia="Times New Roman"/>
          <w:b/>
          <w:bCs/>
          <w:i/>
          <w:iCs/>
          <w:lang w:eastAsia="ru-RU"/>
        </w:rPr>
        <w:t xml:space="preserve"> Договору до моменту його повного завершення</w:t>
      </w:r>
      <w:r>
        <w:rPr>
          <w:rFonts w:eastAsia="Times New Roman"/>
          <w:b/>
          <w:bCs/>
          <w:i/>
          <w:iCs/>
          <w:lang w:eastAsia="uk-UA"/>
        </w:rPr>
        <w:t xml:space="preserve">.</w:t>
      </w:r>
      <w:r/>
    </w:p>
    <w:p>
      <w:pPr>
        <w:pStyle w:val="694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pStyle w:val="694"/>
        <w:ind w:firstLine="567"/>
        <w:jc w:val="both"/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  <w:r/>
      <w:bookmarkStart w:id="1" w:name="_Hlk131598067"/>
      <w:r>
        <w:rPr>
          <w:rFonts w:eastAsia="Times New Roman"/>
          <w:color w:val="000000" w:themeColor="text1"/>
          <w:shd w:val="clear" w:color="auto" w:fill="ffffff"/>
          <w:lang w:eastAsia="uk-UA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2" w:name="_Hlk131682113"/>
      <w:r/>
      <w:bookmarkEnd w:id="1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90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Гарантійні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зобов’язання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всіх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найменувань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повинні</w:t>
      </w:r>
      <w:r>
        <w:rPr>
          <w:rFonts w:ascii="Times New Roman" w:hAnsi="Times New Roman" w:cs="Times New Roman"/>
          <w:sz w:val="24"/>
          <w:szCs w:val="24"/>
        </w:rPr>
        <w:t xml:space="preserve"> бути не </w:t>
      </w:r>
      <w:r>
        <w:rPr>
          <w:rFonts w:ascii="Times New Roman" w:hAnsi="Times New Roman" w:cs="Times New Roman"/>
          <w:sz w:val="24"/>
          <w:szCs w:val="24"/>
        </w:rPr>
        <w:t xml:space="preserve">менше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строків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визначених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товарів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складати не менше 12ти місяців з дати підписання видаткової накладної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Постачальник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забезпечити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обслуговування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підтримку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протягом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гарантійного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терміну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(надати гарантійний лист).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 Товар, що постачається повинен відповідати  вимогам діючого природоохоронного  законодавства, та мати відповідні дозволи (надати копію висновку державної санітарно-</w:t>
      </w:r>
      <w:r>
        <w:rPr>
          <w:rFonts w:ascii="Times New Roman" w:hAnsi="Times New Roman" w:cs="Times New Roman"/>
          <w:sz w:val="24"/>
          <w:szCs w:val="24"/>
        </w:rPr>
        <w:t xml:space="preserve">епідемілогічної</w:t>
      </w:r>
      <w:r>
        <w:rPr>
          <w:rFonts w:ascii="Times New Roman" w:hAnsi="Times New Roman" w:cs="Times New Roman"/>
          <w:sz w:val="24"/>
          <w:szCs w:val="24"/>
        </w:rPr>
        <w:t xml:space="preserve"> експертизи на меблі, виготовлений у відповідності ДСТУ 4414:2005 "Меблі за індивідуальними замовленнями. Загальні технічні умови").</w:t>
      </w:r>
      <w:r/>
    </w:p>
    <w:p>
      <w:pPr>
        <w:pStyle w:val="694"/>
        <w:ind w:firstLine="567"/>
        <w:jc w:val="both"/>
        <w:spacing w:after="0" w:line="240" w:lineRule="auto"/>
        <w:rPr>
          <w:rStyle w:val="716"/>
        </w:rPr>
      </w:pPr>
      <w:r>
        <w:t xml:space="preserve">8. </w:t>
      </w:r>
      <w:r>
        <w:rPr>
          <w:rStyle w:val="716"/>
        </w:rPr>
        <w:t xml:space="preserve">Товар, що є предметом закупівлі, постачається у зібраному вигляді, готовим до використання (надати гарантійний лист).</w:t>
      </w:r>
      <w:r/>
    </w:p>
    <w:p>
      <w:pPr>
        <w:pStyle w:val="694"/>
        <w:ind w:firstLine="567"/>
        <w:jc w:val="both"/>
        <w:spacing w:after="0" w:line="240" w:lineRule="auto"/>
        <w:rPr>
          <w:rStyle w:val="716"/>
        </w:rPr>
      </w:pPr>
      <w:r>
        <w:rPr>
          <w:rStyle w:val="716"/>
        </w:rPr>
        <w:t xml:space="preserve">9. Надати копії сертифікатів відповідності на </w:t>
      </w:r>
      <w:r>
        <w:t xml:space="preserve">систему управління якістю ДСТУ </w:t>
      </w:r>
      <w:r>
        <w:rPr>
          <w:lang w:val="en-US"/>
        </w:rPr>
        <w:t xml:space="preserve">EN ISO</w:t>
      </w:r>
      <w:r>
        <w:t xml:space="preserve"> 9001:2018, на систему управління охороною здоров’я та безпекою праці ДСТУ </w:t>
      </w:r>
      <w:r>
        <w:rPr>
          <w:lang w:val="en-US"/>
        </w:rPr>
        <w:t xml:space="preserve">ISO</w:t>
      </w:r>
      <w:r>
        <w:t xml:space="preserve"> 45001:2019, на систему управління безпекою ланцюга постачання ДСТУ </w:t>
      </w:r>
      <w:r>
        <w:rPr>
          <w:lang w:val="en-US"/>
        </w:rPr>
        <w:t xml:space="preserve">ISO</w:t>
      </w:r>
      <w:r>
        <w:t xml:space="preserve"> 28000:2008</w:t>
      </w:r>
      <w:r>
        <w:rPr>
          <w:rStyle w:val="716"/>
        </w:rPr>
        <w:t xml:space="preserve">.</w:t>
      </w:r>
      <w:r/>
    </w:p>
    <w:p>
      <w:pPr>
        <w:pStyle w:val="694"/>
        <w:ind w:firstLine="567"/>
        <w:jc w:val="both"/>
        <w:spacing w:after="0" w:line="240" w:lineRule="auto"/>
        <w:rPr>
          <w:rStyle w:val="716"/>
        </w:rPr>
      </w:pPr>
      <w:r>
        <w:rPr>
          <w:rStyle w:val="716"/>
        </w:rPr>
        <w:t xml:space="preserve">10. Надати у складі пропозиції гарантійний лист, що всі витрати на розвантаження, підіймання на поверхи будівлі несе Учасник та виконує власними силами.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pStyle w:val="694"/>
        <w:ind w:firstLine="567"/>
        <w:spacing w:after="0" w:line="240" w:lineRule="auto"/>
        <w:rPr>
          <w:rStyle w:val="716"/>
          <w:lang w:eastAsia="ru-RU"/>
        </w:rPr>
      </w:pPr>
      <w:r>
        <w:rPr>
          <w:lang w:eastAsia="ru-RU"/>
        </w:rPr>
      </w:r>
      <w:r/>
    </w:p>
    <w:p>
      <w:pPr>
        <w:pStyle w:val="690"/>
        <w:ind w:left="0"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Стіл робочий 700*500*750 мм – 24 шт.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29175" cy="304800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0" t="37737" r="0" b="23241"/>
                        <a:stretch/>
                      </pic:blipFill>
                      <pic:spPr bwMode="auto">
                        <a:xfrm>
                          <a:off x="0" y="0"/>
                          <a:ext cx="4829175" cy="30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0.2pt;height:240.0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690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Кількість – 24 шт.</w:t>
      </w:r>
      <w:r/>
    </w:p>
    <w:p>
      <w:pPr>
        <w:pStyle w:val="690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ДСП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Kronospan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0164 PE Антрацит</w:t>
      </w:r>
      <w:r/>
    </w:p>
    <w:p>
      <w:pPr>
        <w:pStyle w:val="690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Кромка 2мм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пур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 периметру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Товар, що є предметом закупівлі, постачається у зібраному вигляді, готовим до використання.</w:t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bookmarkEnd w:id="0"/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61 048,00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шістдесят одна тисяча сорок вісім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очікуваної вартості предмета закупівлі затвердженої Наказом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9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13"/>
  </w:num>
  <w:num w:numId="5">
    <w:abstractNumId w:val="5"/>
  </w:num>
  <w:num w:numId="6">
    <w:abstractNumId w:val="16"/>
  </w:num>
  <w:num w:numId="7">
    <w:abstractNumId w:val="8"/>
  </w:num>
  <w:num w:numId="8">
    <w:abstractNumId w:val="18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7"/>
  </w:num>
  <w:num w:numId="17">
    <w:abstractNumId w:val="1"/>
  </w:num>
  <w:num w:numId="18">
    <w:abstractNumId w:val="19"/>
  </w:num>
  <w:num w:numId="19">
    <w:abstractNumId w:val="1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5"/>
    <w:next w:val="68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7"/>
    <w:link w:val="68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5"/>
    <w:next w:val="68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5"/>
    <w:next w:val="68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5"/>
    <w:next w:val="68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5"/>
    <w:next w:val="68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5"/>
    <w:next w:val="68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5"/>
    <w:next w:val="68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5"/>
    <w:next w:val="68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5"/>
    <w:next w:val="68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7"/>
    <w:link w:val="33"/>
    <w:uiPriority w:val="10"/>
    <w:rPr>
      <w:sz w:val="48"/>
      <w:szCs w:val="48"/>
    </w:rPr>
  </w:style>
  <w:style w:type="paragraph" w:styleId="35">
    <w:name w:val="Subtitle"/>
    <w:basedOn w:val="685"/>
    <w:next w:val="68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7"/>
    <w:link w:val="35"/>
    <w:uiPriority w:val="11"/>
    <w:rPr>
      <w:sz w:val="24"/>
      <w:szCs w:val="24"/>
    </w:rPr>
  </w:style>
  <w:style w:type="paragraph" w:styleId="37">
    <w:name w:val="Quote"/>
    <w:basedOn w:val="685"/>
    <w:next w:val="68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5"/>
    <w:next w:val="68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7"/>
    <w:link w:val="41"/>
    <w:uiPriority w:val="99"/>
  </w:style>
  <w:style w:type="character" w:styleId="44">
    <w:name w:val="Footer Char"/>
    <w:basedOn w:val="687"/>
    <w:link w:val="696"/>
    <w:uiPriority w:val="99"/>
  </w:style>
  <w:style w:type="paragraph" w:styleId="45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6"/>
    <w:uiPriority w:val="99"/>
  </w:style>
  <w:style w:type="table" w:styleId="48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7"/>
    <w:uiPriority w:val="99"/>
    <w:unhideWhenUsed/>
    <w:rPr>
      <w:vertAlign w:val="superscript"/>
    </w:rPr>
  </w:style>
  <w:style w:type="paragraph" w:styleId="177">
    <w:name w:val="endnote text"/>
    <w:basedOn w:val="68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7"/>
    <w:uiPriority w:val="99"/>
    <w:semiHidden/>
    <w:unhideWhenUsed/>
    <w:rPr>
      <w:vertAlign w:val="superscript"/>
    </w:rPr>
  </w:style>
  <w:style w:type="paragraph" w:styleId="180">
    <w:name w:val="toc 1"/>
    <w:basedOn w:val="685"/>
    <w:next w:val="68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5"/>
    <w:next w:val="68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5"/>
    <w:next w:val="68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5"/>
    <w:next w:val="68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5"/>
    <w:next w:val="68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5"/>
    <w:next w:val="68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5"/>
    <w:next w:val="68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5"/>
    <w:next w:val="68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5"/>
    <w:next w:val="68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5"/>
    <w:next w:val="685"/>
    <w:uiPriority w:val="99"/>
    <w:unhideWhenUsed/>
    <w:pPr>
      <w:spacing w:after="0" w:afterAutospacing="0"/>
    </w:pPr>
  </w:style>
  <w:style w:type="paragraph" w:styleId="685" w:default="1">
    <w:name w:val="Normal"/>
    <w:qFormat/>
    <w:rPr>
      <w:lang w:val="uk-UA"/>
    </w:rPr>
  </w:style>
  <w:style w:type="paragraph" w:styleId="686">
    <w:name w:val="Heading 2"/>
    <w:basedOn w:val="685"/>
    <w:link w:val="70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paragraph" w:styleId="690">
    <w:name w:val="List Paragraph"/>
    <w:basedOn w:val="685"/>
    <w:link w:val="69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1" w:customStyle="1">
    <w:name w:val="Абзац списку Знак"/>
    <w:link w:val="690"/>
    <w:uiPriority w:val="34"/>
    <w:rPr>
      <w:rFonts w:ascii="Calibri" w:hAnsi="Calibri" w:eastAsia="Calibri" w:cs="Calibri"/>
      <w:lang w:eastAsia="zh-CN"/>
    </w:rPr>
  </w:style>
  <w:style w:type="table" w:styleId="692">
    <w:name w:val="Table Grid"/>
    <w:basedOn w:val="68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3" w:customStyle="1">
    <w:name w:val="Сетка таблицы2"/>
    <w:basedOn w:val="688"/>
    <w:next w:val="692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4">
    <w:name w:val="Normal (Web)"/>
    <w:basedOn w:val="685"/>
    <w:link w:val="701"/>
    <w:unhideWhenUsed/>
    <w:qFormat/>
    <w:rPr>
      <w:rFonts w:ascii="Times New Roman" w:hAnsi="Times New Roman" w:cs="Times New Roman"/>
      <w:sz w:val="24"/>
      <w:szCs w:val="24"/>
    </w:rPr>
  </w:style>
  <w:style w:type="table" w:styleId="695" w:customStyle="1">
    <w:name w:val="Сетка таблицы1"/>
    <w:basedOn w:val="688"/>
    <w:next w:val="692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6">
    <w:name w:val="Footer"/>
    <w:basedOn w:val="685"/>
    <w:link w:val="697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7" w:customStyle="1">
    <w:name w:val="Нижній колонтитул Знак"/>
    <w:basedOn w:val="687"/>
    <w:link w:val="696"/>
    <w:uiPriority w:val="99"/>
    <w:rPr>
      <w:rFonts w:ascii="Calibri" w:hAnsi="Calibri" w:eastAsia="Calibri" w:cs="Calibri"/>
      <w:lang w:eastAsia="zh-CN"/>
    </w:rPr>
  </w:style>
  <w:style w:type="paragraph" w:styleId="698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9">
    <w:name w:val="Hyperlink"/>
    <w:basedOn w:val="687"/>
    <w:uiPriority w:val="99"/>
    <w:unhideWhenUsed/>
    <w:rPr>
      <w:color w:val="0563c1" w:themeColor="hyperlink"/>
      <w:u w:val="single"/>
    </w:rPr>
  </w:style>
  <w:style w:type="character" w:styleId="700" w:customStyle="1">
    <w:name w:val="xfm_93972720"/>
    <w:basedOn w:val="687"/>
  </w:style>
  <w:style w:type="character" w:styleId="701" w:customStyle="1">
    <w:name w:val="Звичайний (веб) Знак"/>
    <w:link w:val="694"/>
    <w:qFormat/>
    <w:rPr>
      <w:rFonts w:ascii="Times New Roman" w:hAnsi="Times New Roman" w:cs="Times New Roman"/>
      <w:sz w:val="24"/>
      <w:szCs w:val="24"/>
      <w:lang w:val="uk-UA"/>
    </w:rPr>
  </w:style>
  <w:style w:type="paragraph" w:styleId="702">
    <w:name w:val="Body Text 2"/>
    <w:basedOn w:val="685"/>
    <w:link w:val="703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3" w:customStyle="1">
    <w:name w:val="Основний текст 2 Знак"/>
    <w:basedOn w:val="687"/>
    <w:link w:val="70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5" w:customStyle="1">
    <w:name w:val="Заголовок 2 Знак"/>
    <w:basedOn w:val="687"/>
    <w:link w:val="68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6">
    <w:name w:val="No Spacing"/>
    <w:link w:val="707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7" w:customStyle="1">
    <w:name w:val="Без інтервалів Знак"/>
    <w:basedOn w:val="687"/>
    <w:link w:val="706"/>
    <w:uiPriority w:val="1"/>
    <w:rPr>
      <w:rFonts w:ascii="Calibri" w:hAnsi="Calibri" w:eastAsia="Calibri" w:cs="Times New Roman"/>
      <w:lang w:val="uk-UA"/>
    </w:rPr>
  </w:style>
  <w:style w:type="character" w:styleId="708" w:customStyle="1">
    <w:name w:val="Другое_"/>
    <w:basedOn w:val="687"/>
    <w:link w:val="709"/>
    <w:rPr>
      <w:rFonts w:ascii="Calibri" w:hAnsi="Calibri" w:eastAsia="Calibri" w:cs="Calibri"/>
      <w:sz w:val="20"/>
      <w:szCs w:val="20"/>
    </w:rPr>
  </w:style>
  <w:style w:type="paragraph" w:styleId="709" w:customStyle="1">
    <w:name w:val="Другое"/>
    <w:basedOn w:val="685"/>
    <w:link w:val="708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0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11" w:customStyle="1">
    <w:name w:val="Основной текст (2)_"/>
    <w:basedOn w:val="687"/>
    <w:link w:val="712"/>
    <w:rPr>
      <w:rFonts w:eastAsia="Times New Roman" w:cs="Times New Roman"/>
      <w:shd w:val="clear" w:color="auto" w:fill="ffffff"/>
    </w:rPr>
  </w:style>
  <w:style w:type="paragraph" w:styleId="712" w:customStyle="1">
    <w:name w:val="Основной текст (2)"/>
    <w:basedOn w:val="685"/>
    <w:link w:val="711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3" w:customStyle="1">
    <w:name w:val="Текст у виносці Знак"/>
    <w:basedOn w:val="687"/>
    <w:link w:val="71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4">
    <w:name w:val="Balloon Text"/>
    <w:basedOn w:val="685"/>
    <w:link w:val="713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5" w:customStyle="1">
    <w:name w:val="Текст у виносці Знак1"/>
    <w:basedOn w:val="687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16" w:customStyle="1">
    <w:name w:val="T23"/>
    <w:rPr>
      <w:rFonts w:hint="default" w:ascii="Times New Roman" w:hAnsi="Times New Roman" w:eastAsia="Times New Roman1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127</cp:revision>
  <dcterms:created xsi:type="dcterms:W3CDTF">2022-11-01T12:47:00Z</dcterms:created>
  <dcterms:modified xsi:type="dcterms:W3CDTF">2023-07-27T07:23:04Z</dcterms:modified>
</cp:coreProperties>
</file>