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проведення гідродинамічної промивки зовнішньої каналізаційної мережі за код ДК 021:2015 90470000-2 «</w:t>
      </w:r>
      <w:r>
        <w:rPr>
          <w:b w:val="0"/>
          <w:bCs w:val="0"/>
          <w:sz w:val="24"/>
          <w:szCs w:val="24"/>
        </w:rPr>
        <w:t xml:space="preserve">Послуги з чищення каналізаційних колекторів</w:t>
      </w:r>
      <w:r>
        <w:rPr>
          <w:b w:val="0"/>
          <w:bCs w:val="0"/>
          <w:spacing w:val="1"/>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12</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3986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pacing w:val="1"/>
          <w:sz w:val="24"/>
          <w:szCs w:val="24"/>
        </w:rPr>
        <w:t xml:space="preserve">Послуги з проведення гідродинамічної промивки зовнішньої каналізаційної мережі за код ДК 021:2015 90470000-2 «</w:t>
      </w:r>
      <w:r>
        <w:rPr>
          <w:rFonts w:ascii="Times New Roman" w:hAnsi="Times New Roman" w:cs="Times New Roman"/>
          <w:sz w:val="24"/>
          <w:szCs w:val="24"/>
        </w:rPr>
        <w:t xml:space="preserve">Послуги з чищення каналізаційних колекторів</w:t>
      </w:r>
      <w:r>
        <w:rPr>
          <w:rFonts w:ascii="Times New Roman" w:hAnsi="Times New Roman" w:cs="Times New Roman"/>
          <w:spacing w:val="1"/>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line="256" w:lineRule="auto"/>
        <w:rPr>
          <w:rFonts w:eastAsia="Calibri"/>
          <w:u w:val="single"/>
        </w:rPr>
      </w:pPr>
      <w:r>
        <w:rPr>
          <w:rFonts w:eastAsia="Calibri"/>
          <w:u w:val="single"/>
        </w:rPr>
      </w:r>
      <w:r/>
    </w:p>
    <w:tbl>
      <w:tblPr>
        <w:tblW w:w="9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5"/>
        <w:gridCol w:w="6363"/>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eastAsia="Times New Roman" w:cs="Times New Roman"/>
                <w:sz w:val="24"/>
                <w:szCs w:val="24"/>
                <w:lang w:val="ru-RU" w:eastAsia="ru-RU"/>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b/>
                <w:bCs/>
                <w:spacing w:val="1"/>
                <w:sz w:val="24"/>
                <w:szCs w:val="24"/>
              </w:rPr>
              <w:t xml:space="preserve">Послуги з проведення гідродинамічної промивки зовнішньої каналізаційної мережі за </w:t>
            </w:r>
            <w:r>
              <w:rPr>
                <w:rFonts w:ascii="Times New Roman" w:hAnsi="Times New Roman" w:cs="Times New Roman"/>
                <w:b/>
                <w:bCs/>
                <w:spacing w:val="1"/>
                <w:sz w:val="24"/>
                <w:szCs w:val="24"/>
              </w:rPr>
              <w:t xml:space="preserve">адресою</w:t>
            </w:r>
            <w:r>
              <w:rPr>
                <w:rFonts w:ascii="Times New Roman" w:hAnsi="Times New Roman" w:cs="Times New Roman"/>
                <w:b/>
                <w:bCs/>
                <w:spacing w:val="1"/>
                <w:sz w:val="24"/>
                <w:szCs w:val="24"/>
              </w:rPr>
              <w:t xml:space="preserve">: вул. Волинська, 26 у Солом’янському районі м. Києва</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lang w:val="ru-RU"/>
              </w:rPr>
            </w:pPr>
            <w:r>
              <w:rPr>
                <w:rFonts w:ascii="Times New Roman" w:hAnsi="Times New Roman" w:cs="Times New Roman"/>
                <w:b/>
                <w:bCs/>
                <w:sz w:val="24"/>
                <w:szCs w:val="24"/>
              </w:rPr>
              <w:t xml:space="preserve">2</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b/>
                <w:sz w:val="24"/>
                <w:szCs w:val="24"/>
              </w:rPr>
            </w:pPr>
            <w:r/>
            <w:bookmarkStart w:id="0" w:name="_Hlk169703408"/>
            <w:r>
              <w:rPr>
                <w:rFonts w:ascii="Times New Roman" w:hAnsi="Times New Roman" w:cs="Times New Roman"/>
                <w:b/>
                <w:bCs/>
                <w:spacing w:val="1"/>
                <w:sz w:val="24"/>
                <w:szCs w:val="24"/>
              </w:rPr>
              <w:t xml:space="preserve">Послуги з проведення гідродинамічної промивки зовнішньої каналізаційної мережі за </w:t>
            </w:r>
            <w:r>
              <w:rPr>
                <w:rFonts w:ascii="Times New Roman" w:hAnsi="Times New Roman" w:cs="Times New Roman"/>
                <w:b/>
                <w:bCs/>
                <w:spacing w:val="1"/>
                <w:sz w:val="24"/>
                <w:szCs w:val="24"/>
              </w:rPr>
              <w:t xml:space="preserve">адресою</w:t>
            </w:r>
            <w:r>
              <w:rPr>
                <w:rFonts w:ascii="Times New Roman" w:hAnsi="Times New Roman" w:cs="Times New Roman"/>
                <w:b/>
                <w:bCs/>
                <w:spacing w:val="1"/>
                <w:sz w:val="24"/>
                <w:szCs w:val="24"/>
              </w:rPr>
              <w:t xml:space="preserve">: вул. Володимира </w:t>
            </w:r>
            <w:r>
              <w:rPr>
                <w:rFonts w:ascii="Times New Roman" w:hAnsi="Times New Roman" w:cs="Times New Roman"/>
                <w:b/>
                <w:bCs/>
                <w:spacing w:val="1"/>
                <w:sz w:val="24"/>
                <w:szCs w:val="24"/>
              </w:rPr>
              <w:t xml:space="preserve">Сікевича</w:t>
            </w:r>
            <w:r>
              <w:rPr>
                <w:rFonts w:ascii="Times New Roman" w:hAnsi="Times New Roman" w:cs="Times New Roman"/>
                <w:b/>
                <w:bCs/>
                <w:spacing w:val="1"/>
                <w:sz w:val="24"/>
                <w:szCs w:val="24"/>
              </w:rPr>
              <w:t xml:space="preserve">, 28 у Солом’янському районі м. Києва</w:t>
            </w:r>
            <w:bookmarkEnd w:id="0"/>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lang w:val="ru-RU"/>
              </w:rPr>
            </w:pPr>
            <w:r>
              <w:rPr>
                <w:rFonts w:ascii="Times New Roman" w:hAnsi="Times New Roman" w:cs="Times New Roman"/>
                <w:b/>
                <w:bCs/>
                <w:sz w:val="24"/>
                <w:szCs w:val="24"/>
              </w:rPr>
              <w:t xml:space="preserve">3</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Послуги з проведення гідродинамічної промивки зовнішньої каналізаційної мережі за </w:t>
            </w:r>
            <w:r>
              <w:rPr>
                <w:rFonts w:ascii="Times New Roman" w:hAnsi="Times New Roman" w:cs="Times New Roman"/>
                <w:b/>
                <w:bCs/>
                <w:spacing w:val="1"/>
                <w:sz w:val="24"/>
                <w:szCs w:val="24"/>
              </w:rPr>
              <w:t xml:space="preserve">адресою</w:t>
            </w:r>
            <w:r>
              <w:rPr>
                <w:rFonts w:ascii="Times New Roman" w:hAnsi="Times New Roman" w:cs="Times New Roman"/>
                <w:b/>
                <w:bCs/>
                <w:spacing w:val="1"/>
                <w:sz w:val="24"/>
                <w:szCs w:val="24"/>
              </w:rPr>
              <w:t xml:space="preserve">: вул. Волинська, 26 у Солом’янському районі м. Києва (аварійна)</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center"/>
        <w:spacing w:after="0" w:line="240" w:lineRule="auto"/>
        <w:rPr>
          <w:rFonts w:ascii="Times New Roman" w:hAnsi="Times New Roman" w:eastAsia="Times New Roman" w:cs="Times New Roman"/>
          <w:b/>
          <w:bCs/>
          <w:sz w:val="24"/>
          <w:szCs w:val="24"/>
          <w:lang w:eastAsia="ru-RU"/>
        </w:rPr>
      </w:pPr>
      <w:r>
        <w:rPr>
          <w:rFonts w:ascii="Times New Roman" w:hAnsi="Times New Roman" w:cs="Times New Roman"/>
          <w:b/>
          <w:bCs/>
          <w:sz w:val="24"/>
          <w:szCs w:val="24"/>
        </w:rPr>
        <w:t xml:space="preserve">ТЕХНІЧНІ ВИМОГИ</w:t>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tbl>
      <w:tblPr>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firstRow="1" w:lastRow="0" w:firstColumn="1" w:lastColumn="0" w:noHBand="0" w:noVBand="1"/>
      </w:tblPr>
      <w:tblGrid>
        <w:gridCol w:w="567"/>
        <w:gridCol w:w="6655"/>
        <w:gridCol w:w="1274"/>
        <w:gridCol w:w="1134"/>
      </w:tblGrid>
      <w:tr>
        <w:trPr>
          <w:jc w:val="cent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w:t>
            </w:r>
            <w:r/>
          </w:p>
          <w:p>
            <w:pPr>
              <w:jc w:val="center"/>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п/п</w:t>
            </w:r>
            <w:r/>
          </w:p>
        </w:tc>
        <w:tc>
          <w:tcPr>
            <w:tcBorders>
              <w:top w:val="single" w:color="auto" w:sz="4" w:space="0"/>
              <w:left w:val="single" w:color="auto" w:sz="4" w:space="0"/>
              <w:bottom w:val="single" w:color="auto" w:sz="4" w:space="0"/>
              <w:right w:val="single" w:color="auto" w:sz="4" w:space="0"/>
            </w:tcBorders>
            <w:tcW w:w="6658" w:type="dxa"/>
            <w:vAlign w:val="center"/>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r>
            <w:r/>
          </w:p>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pacing w:val="-3"/>
                <w:sz w:val="24"/>
                <w:szCs w:val="24"/>
              </w:rPr>
              <w:t xml:space="preserve">Найменування робіт і витрат</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Одиниця</w:t>
            </w:r>
            <w:r/>
          </w:p>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pacing w:val="-3"/>
                <w:sz w:val="24"/>
                <w:szCs w:val="24"/>
              </w:rPr>
              <w:t xml:space="preserve">виміру</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 Кількість</w:t>
            </w:r>
            <w:r/>
          </w:p>
        </w:tc>
      </w:tr>
      <w:tr>
        <w:trPr>
          <w:jc w:val="cent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1</w:t>
            </w:r>
            <w:r/>
          </w:p>
        </w:tc>
        <w:tc>
          <w:tcPr>
            <w:tcBorders>
              <w:top w:val="single" w:color="auto" w:sz="4" w:space="0"/>
              <w:left w:val="single" w:color="auto" w:sz="4" w:space="0"/>
              <w:bottom w:val="single" w:color="auto" w:sz="4" w:space="0"/>
              <w:right w:val="single" w:color="auto" w:sz="4" w:space="0"/>
            </w:tcBorders>
            <w:tcW w:w="6658" w:type="dxa"/>
            <w:vAlign w:val="center"/>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2</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3</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4</w:t>
            </w:r>
            <w:r/>
          </w:p>
        </w:tc>
      </w:tr>
      <w:tr>
        <w:trPr>
          <w:jc w:val="cent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r>
            <w:r/>
          </w:p>
        </w:tc>
        <w:tc>
          <w:tcPr>
            <w:tcBorders>
              <w:top w:val="single" w:color="auto" w:sz="4" w:space="0"/>
              <w:left w:val="single" w:color="auto" w:sz="4" w:space="0"/>
              <w:bottom w:val="single" w:color="auto" w:sz="4" w:space="0"/>
              <w:right w:val="single" w:color="auto" w:sz="4" w:space="0"/>
            </w:tcBorders>
            <w:tcW w:w="6658" w:type="dxa"/>
            <w:vAlign w:val="center"/>
            <w:textDirection w:val="lrTb"/>
            <w:noWrap w:val="false"/>
          </w:tcPr>
          <w:p>
            <w:pPr>
              <w:jc w:val="center"/>
              <w:keepLines/>
              <w:spacing w:after="0" w:line="240"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Основна послуга (вул. Волинська, 26, м. Київ)</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r>
            <w:r/>
          </w:p>
        </w:tc>
      </w:tr>
      <w:tr>
        <w:trPr>
          <w:jc w:val="center"/>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pacing w:val="-3"/>
                <w:sz w:val="24"/>
                <w:szCs w:val="24"/>
              </w:rPr>
              <w:t xml:space="preserve">1</w:t>
            </w:r>
            <w:r/>
          </w:p>
        </w:tc>
        <w:tc>
          <w:tcPr>
            <w:tcBorders>
              <w:top w:val="single" w:color="auto" w:sz="4" w:space="0"/>
              <w:left w:val="single" w:color="auto" w:sz="4" w:space="0"/>
              <w:bottom w:val="single" w:color="auto" w:sz="4" w:space="0"/>
              <w:right w:val="single" w:color="auto" w:sz="4" w:space="0"/>
            </w:tcBorders>
            <w:tcW w:w="6658" w:type="dxa"/>
            <w:textDirection w:val="lrTb"/>
            <w:noWrap w:val="false"/>
          </w:tcPr>
          <w:p>
            <w:pPr>
              <w:jc w:val="both"/>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Прочищення каналізації з прочищенням, промивкою та відкачування мулу. Глибина залягання до двох метрів, забрудненість до 25%</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pacing w:val="-3"/>
                <w:sz w:val="24"/>
                <w:szCs w:val="24"/>
              </w:rPr>
              <w:t xml:space="preserve"> м. п.</w:t>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284</w:t>
            </w:r>
            <w:r/>
          </w:p>
        </w:tc>
      </w:tr>
      <w:tr>
        <w:trPr>
          <w:jc w:val="center"/>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2</w:t>
            </w:r>
            <w:r/>
          </w:p>
        </w:tc>
        <w:tc>
          <w:tcPr>
            <w:tcBorders>
              <w:top w:val="single" w:color="auto" w:sz="4" w:space="0"/>
              <w:left w:val="single" w:color="auto" w:sz="4" w:space="0"/>
              <w:bottom w:val="single" w:color="auto" w:sz="4" w:space="0"/>
              <w:right w:val="single" w:color="auto" w:sz="4" w:space="0"/>
            </w:tcBorders>
            <w:tcW w:w="6658" w:type="dxa"/>
            <w:textDirection w:val="lrTb"/>
            <w:noWrap w:val="false"/>
          </w:tcPr>
          <w:p>
            <w:pPr>
              <w:jc w:val="both"/>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Відкачування мулу з оглядових каналізаційних колодязів</w:t>
            </w:r>
            <w:r/>
          </w:p>
          <w:p>
            <w:pPr>
              <w:jc w:val="both"/>
              <w:keepLines/>
              <w:spacing w:after="0" w:line="240" w:lineRule="auto"/>
              <w:rPr>
                <w:rFonts w:ascii="Times New Roman" w:hAnsi="Times New Roman" w:cs="Times New Roman"/>
                <w:sz w:val="24"/>
                <w:szCs w:val="24"/>
                <w:lang w:val="ru-RU"/>
              </w:rPr>
            </w:pPr>
            <w:r>
              <w:rPr>
                <w:rFonts w:ascii="Times New Roman" w:hAnsi="Times New Roman" w:cs="Times New Roman"/>
                <w:spacing w:val="-3"/>
                <w:sz w:val="24"/>
                <w:szCs w:val="24"/>
              </w:rPr>
              <w:t xml:space="preserve">асенізаційною машиною з бензиновим двигуном.</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цикл</w:t>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12</w:t>
            </w:r>
            <w:r/>
          </w:p>
        </w:tc>
      </w:tr>
      <w:tr>
        <w:trPr>
          <w:jc w:val="center"/>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3</w:t>
            </w:r>
            <w:r/>
          </w:p>
        </w:tc>
        <w:tc>
          <w:tcPr>
            <w:tcBorders>
              <w:top w:val="single" w:color="auto" w:sz="4" w:space="0"/>
              <w:left w:val="single" w:color="auto" w:sz="4" w:space="0"/>
              <w:bottom w:val="single" w:color="auto" w:sz="4" w:space="0"/>
              <w:right w:val="single" w:color="auto" w:sz="4" w:space="0"/>
            </w:tcBorders>
            <w:tcW w:w="6658" w:type="dxa"/>
            <w:textDirection w:val="lrTb"/>
            <w:noWrap w:val="false"/>
          </w:tcPr>
          <w:p>
            <w:pPr>
              <w:jc w:val="both"/>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pacing w:val="-3"/>
                <w:sz w:val="24"/>
                <w:szCs w:val="24"/>
              </w:rPr>
              <w:t xml:space="preserve"> м</w:t>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25</w:t>
            </w:r>
            <w:r/>
          </w:p>
        </w:tc>
      </w:tr>
      <w:tr>
        <w:trPr>
          <w:jc w:val="center"/>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r>
            <w:r/>
          </w:p>
        </w:tc>
        <w:tc>
          <w:tcPr>
            <w:tcBorders>
              <w:top w:val="single" w:color="auto" w:sz="4" w:space="0"/>
              <w:left w:val="single" w:color="auto" w:sz="4" w:space="0"/>
              <w:bottom w:val="single" w:color="auto" w:sz="4" w:space="0"/>
              <w:right w:val="single" w:color="auto" w:sz="4" w:space="0"/>
            </w:tcBorders>
            <w:tcW w:w="6658" w:type="dxa"/>
            <w:textDirection w:val="lrTb"/>
            <w:noWrap w:val="false"/>
          </w:tcPr>
          <w:p>
            <w:pPr>
              <w:jc w:val="center"/>
              <w:keepLines/>
              <w:spacing w:after="0" w:line="240"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Основна послуга (вул. Володимира </w:t>
            </w:r>
            <w:r>
              <w:rPr>
                <w:rFonts w:ascii="Times New Roman" w:hAnsi="Times New Roman" w:cs="Times New Roman"/>
                <w:b/>
                <w:bCs/>
                <w:spacing w:val="-3"/>
                <w:sz w:val="24"/>
                <w:szCs w:val="24"/>
              </w:rPr>
              <w:t xml:space="preserve">Сікевича</w:t>
            </w:r>
            <w:r>
              <w:rPr>
                <w:rFonts w:ascii="Times New Roman" w:hAnsi="Times New Roman" w:cs="Times New Roman"/>
                <w:b/>
                <w:bCs/>
                <w:spacing w:val="-3"/>
                <w:sz w:val="24"/>
                <w:szCs w:val="24"/>
              </w:rPr>
              <w:t xml:space="preserve">, 28, м. Київ)</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r>
            <w:r/>
          </w:p>
        </w:tc>
      </w:tr>
      <w:tr>
        <w:trPr>
          <w:jc w:val="center"/>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1</w:t>
            </w:r>
            <w:r/>
          </w:p>
        </w:tc>
        <w:tc>
          <w:tcPr>
            <w:tcBorders>
              <w:top w:val="single" w:color="auto" w:sz="4" w:space="0"/>
              <w:left w:val="single" w:color="auto" w:sz="4" w:space="0"/>
              <w:bottom w:val="single" w:color="auto" w:sz="4" w:space="0"/>
              <w:right w:val="single" w:color="auto" w:sz="4" w:space="0"/>
            </w:tcBorders>
            <w:tcW w:w="6658" w:type="dxa"/>
            <w:textDirection w:val="lrTb"/>
            <w:noWrap w:val="false"/>
          </w:tcPr>
          <w:p>
            <w:pPr>
              <w:jc w:val="both"/>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Прочищення каналізації з прочищенням, промивкою та відкачування мулу. Глибина залягання до двох метрів, забрудненість до 25%</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м. п.</w:t>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101</w:t>
            </w:r>
            <w:r/>
          </w:p>
        </w:tc>
      </w:tr>
      <w:tr>
        <w:trPr>
          <w:jc w:val="center"/>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2</w:t>
            </w:r>
            <w:r/>
          </w:p>
        </w:tc>
        <w:tc>
          <w:tcPr>
            <w:tcBorders>
              <w:top w:val="single" w:color="auto" w:sz="4" w:space="0"/>
              <w:left w:val="single" w:color="auto" w:sz="4" w:space="0"/>
              <w:bottom w:val="single" w:color="auto" w:sz="4" w:space="0"/>
              <w:right w:val="single" w:color="auto" w:sz="4" w:space="0"/>
            </w:tcBorders>
            <w:tcW w:w="6658" w:type="dxa"/>
            <w:textDirection w:val="lrTb"/>
            <w:noWrap w:val="false"/>
          </w:tcPr>
          <w:p>
            <w:pPr>
              <w:jc w:val="both"/>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Відкачування мулу з оглядових каналізаційних колодязів</w:t>
            </w:r>
            <w:r/>
          </w:p>
          <w:p>
            <w:pPr>
              <w:jc w:val="both"/>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асенізаційною машиною з бензиновим двигуном.</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цикл</w:t>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12</w:t>
            </w:r>
            <w:r/>
          </w:p>
        </w:tc>
      </w:tr>
      <w:tr>
        <w:trPr>
          <w:jc w:val="center"/>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3</w:t>
            </w:r>
            <w:r/>
          </w:p>
        </w:tc>
        <w:tc>
          <w:tcPr>
            <w:tcBorders>
              <w:top w:val="single" w:color="auto" w:sz="4" w:space="0"/>
              <w:left w:val="single" w:color="auto" w:sz="4" w:space="0"/>
              <w:bottom w:val="single" w:color="auto" w:sz="4" w:space="0"/>
              <w:right w:val="single" w:color="auto" w:sz="4" w:space="0"/>
            </w:tcBorders>
            <w:tcW w:w="6658" w:type="dxa"/>
            <w:textDirection w:val="lrTb"/>
            <w:noWrap w:val="false"/>
          </w:tcPr>
          <w:p>
            <w:pPr>
              <w:jc w:val="both"/>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м</w:t>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25</w:t>
            </w:r>
            <w:r/>
          </w:p>
        </w:tc>
      </w:tr>
      <w:tr>
        <w:trPr>
          <w:jc w:val="cent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 </w:t>
            </w:r>
            <w:r/>
          </w:p>
        </w:tc>
        <w:tc>
          <w:tcPr>
            <w:tcBorders>
              <w:top w:val="single" w:color="auto" w:sz="4" w:space="0"/>
              <w:left w:val="single" w:color="auto" w:sz="4" w:space="0"/>
              <w:bottom w:val="single" w:color="auto" w:sz="4" w:space="0"/>
              <w:right w:val="single" w:color="auto" w:sz="4" w:space="0"/>
            </w:tcBorders>
            <w:tcW w:w="6658" w:type="dxa"/>
            <w:vAlign w:val="center"/>
            <w:textDirection w:val="lrTb"/>
            <w:noWrap w:val="false"/>
          </w:tcPr>
          <w:p>
            <w:pPr>
              <w:jc w:val="center"/>
              <w:keepLines/>
              <w:spacing w:after="0" w:line="240" w:lineRule="auto"/>
              <w:rPr>
                <w:rFonts w:ascii="Times New Roman" w:hAnsi="Times New Roman" w:cs="Times New Roman"/>
                <w:b/>
                <w:bCs/>
                <w:sz w:val="24"/>
                <w:szCs w:val="24"/>
              </w:rPr>
            </w:pPr>
            <w:r>
              <w:rPr>
                <w:rFonts w:ascii="Times New Roman" w:hAnsi="Times New Roman" w:cs="Times New Roman"/>
                <w:b/>
                <w:bCs/>
                <w:spacing w:val="-3"/>
                <w:sz w:val="24"/>
                <w:szCs w:val="24"/>
                <w:lang w:val="en-US"/>
              </w:rPr>
              <w:t xml:space="preserve">Послуга</w:t>
            </w:r>
            <w:r>
              <w:rPr>
                <w:rFonts w:ascii="Times New Roman" w:hAnsi="Times New Roman" w:cs="Times New Roman"/>
                <w:b/>
                <w:bCs/>
                <w:spacing w:val="-3"/>
                <w:sz w:val="24"/>
                <w:szCs w:val="24"/>
                <w:lang w:val="en-US"/>
              </w:rPr>
              <w:t xml:space="preserve"> 1</w:t>
            </w:r>
            <w:r>
              <w:rPr>
                <w:rFonts w:ascii="Times New Roman" w:hAnsi="Times New Roman" w:cs="Times New Roman"/>
                <w:b/>
                <w:bCs/>
                <w:spacing w:val="-3"/>
                <w:sz w:val="24"/>
                <w:szCs w:val="24"/>
              </w:rPr>
              <w:t xml:space="preserve"> (аварійна)</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 </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p>
        </w:tc>
      </w:tr>
      <w:tr>
        <w:trPr>
          <w:jc w:val="center"/>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4</w:t>
            </w:r>
            <w:r/>
          </w:p>
        </w:tc>
        <w:tc>
          <w:tcPr>
            <w:tcBorders>
              <w:top w:val="single" w:color="auto" w:sz="4" w:space="0"/>
              <w:left w:val="single" w:color="auto" w:sz="4" w:space="0"/>
              <w:bottom w:val="single" w:color="auto" w:sz="4" w:space="0"/>
              <w:right w:val="single" w:color="auto" w:sz="4" w:space="0"/>
            </w:tcBorders>
            <w:tcW w:w="6658" w:type="dxa"/>
            <w:textDirection w:val="lrTb"/>
            <w:noWrap w:val="false"/>
          </w:tcPr>
          <w:p>
            <w:pPr>
              <w:jc w:val="both"/>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pacing w:val="-3"/>
                <w:sz w:val="24"/>
                <w:szCs w:val="24"/>
              </w:rPr>
              <w:t xml:space="preserve"> м</w:t>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20</w:t>
            </w:r>
            <w:r/>
          </w:p>
        </w:tc>
      </w:tr>
      <w:tr>
        <w:trPr>
          <w:jc w:val="center"/>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5</w:t>
            </w:r>
            <w:r/>
          </w:p>
        </w:tc>
        <w:tc>
          <w:tcPr>
            <w:tcBorders>
              <w:top w:val="single" w:color="auto" w:sz="4" w:space="0"/>
              <w:left w:val="single" w:color="auto" w:sz="4" w:space="0"/>
              <w:bottom w:val="single" w:color="auto" w:sz="4" w:space="0"/>
              <w:right w:val="single" w:color="auto" w:sz="4" w:space="0"/>
            </w:tcBorders>
            <w:tcW w:w="6658" w:type="dxa"/>
            <w:textDirection w:val="lrTb"/>
            <w:noWrap w:val="false"/>
          </w:tcPr>
          <w:p>
            <w:pPr>
              <w:jc w:val="both"/>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pacing w:val="-3"/>
                <w:sz w:val="24"/>
                <w:szCs w:val="24"/>
              </w:rPr>
              <w:t xml:space="preserve"> м. п.</w:t>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100</w:t>
            </w:r>
            <w:r/>
          </w:p>
        </w:tc>
      </w:tr>
      <w:tr>
        <w:trPr>
          <w:jc w:val="cent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p>
        </w:tc>
        <w:tc>
          <w:tcPr>
            <w:tcBorders>
              <w:top w:val="single" w:color="auto" w:sz="4" w:space="0"/>
              <w:left w:val="single" w:color="auto" w:sz="4" w:space="0"/>
              <w:bottom w:val="single" w:color="auto" w:sz="4" w:space="0"/>
              <w:right w:val="single" w:color="auto" w:sz="4" w:space="0"/>
            </w:tcBorders>
            <w:tcW w:w="6658" w:type="dxa"/>
            <w:vAlign w:val="center"/>
            <w:textDirection w:val="lrTb"/>
            <w:noWrap w:val="false"/>
          </w:tcPr>
          <w:p>
            <w:pPr>
              <w:jc w:val="center"/>
              <w:keepLines/>
              <w:spacing w:after="0" w:line="240" w:lineRule="auto"/>
              <w:rPr>
                <w:rFonts w:ascii="Times New Roman" w:hAnsi="Times New Roman" w:cs="Times New Roman"/>
                <w:b/>
                <w:bCs/>
                <w:sz w:val="24"/>
                <w:szCs w:val="24"/>
              </w:rPr>
            </w:pPr>
            <w:r>
              <w:rPr>
                <w:rFonts w:ascii="Times New Roman" w:hAnsi="Times New Roman" w:cs="Times New Roman"/>
                <w:b/>
                <w:bCs/>
                <w:spacing w:val="-3"/>
                <w:sz w:val="24"/>
                <w:szCs w:val="24"/>
                <w:lang w:val="en-US"/>
              </w:rPr>
              <w:t xml:space="preserve">Послуга</w:t>
            </w:r>
            <w:r>
              <w:rPr>
                <w:rFonts w:ascii="Times New Roman" w:hAnsi="Times New Roman" w:cs="Times New Roman"/>
                <w:b/>
                <w:bCs/>
                <w:spacing w:val="-3"/>
                <w:sz w:val="24"/>
                <w:szCs w:val="24"/>
                <w:lang w:val="en-US"/>
              </w:rPr>
              <w:t xml:space="preserve"> 2</w:t>
            </w:r>
            <w:r>
              <w:rPr>
                <w:rFonts w:ascii="Times New Roman" w:hAnsi="Times New Roman" w:cs="Times New Roman"/>
                <w:b/>
                <w:bCs/>
                <w:spacing w:val="-3"/>
                <w:sz w:val="24"/>
                <w:szCs w:val="24"/>
              </w:rPr>
              <w:t xml:space="preserve"> (аварійна)</w:t>
            </w:r>
            <w:r/>
          </w:p>
        </w:tc>
        <w:tc>
          <w:tcPr>
            <w:tcBorders>
              <w:top w:val="single" w:color="auto" w:sz="4" w:space="0"/>
              <w:left w:val="single" w:color="auto" w:sz="4" w:space="0"/>
              <w:bottom w:val="single" w:color="auto" w:sz="4" w:space="0"/>
              <w:right w:val="single" w:color="auto" w:sz="4" w:space="0"/>
            </w:tcBorders>
            <w:tcW w:w="1275" w:type="dxa"/>
            <w:vAlign w:val="center"/>
            <w:textDirection w:val="lrTb"/>
            <w:noWrap w:val="false"/>
          </w:tcPr>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 </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p>
        </w:tc>
      </w:tr>
      <w:tr>
        <w:trPr>
          <w:jc w:val="center"/>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6</w:t>
            </w:r>
            <w:r/>
          </w:p>
        </w:tc>
        <w:tc>
          <w:tcPr>
            <w:tcBorders>
              <w:top w:val="single" w:color="auto" w:sz="4" w:space="0"/>
              <w:left w:val="single" w:color="auto" w:sz="4" w:space="0"/>
              <w:bottom w:val="single" w:color="auto" w:sz="4" w:space="0"/>
              <w:right w:val="single" w:color="auto" w:sz="4" w:space="0"/>
            </w:tcBorders>
            <w:tcW w:w="6658" w:type="dxa"/>
            <w:textDirection w:val="lrTb"/>
            <w:noWrap w:val="false"/>
          </w:tcPr>
          <w:p>
            <w:pPr>
              <w:jc w:val="both"/>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pacing w:val="-3"/>
                <w:sz w:val="24"/>
                <w:szCs w:val="24"/>
              </w:rPr>
              <w:t xml:space="preserve"> м</w:t>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20</w:t>
            </w:r>
            <w:r/>
          </w:p>
        </w:tc>
      </w:tr>
      <w:tr>
        <w:trPr>
          <w:jc w:val="center"/>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7</w:t>
            </w:r>
            <w:r/>
          </w:p>
        </w:tc>
        <w:tc>
          <w:tcPr>
            <w:tcBorders>
              <w:top w:val="single" w:color="auto" w:sz="4" w:space="0"/>
              <w:left w:val="single" w:color="auto" w:sz="4" w:space="0"/>
              <w:bottom w:val="single" w:color="auto" w:sz="4" w:space="0"/>
              <w:right w:val="single" w:color="auto" w:sz="4" w:space="0"/>
            </w:tcBorders>
            <w:tcW w:w="6658" w:type="dxa"/>
            <w:textDirection w:val="lrTb"/>
            <w:noWrap w:val="false"/>
          </w:tcPr>
          <w:p>
            <w:pPr>
              <w:jc w:val="both"/>
              <w:keepLine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keepLines/>
              <w:spacing w:after="0" w:line="240" w:lineRule="auto"/>
              <w:rPr>
                <w:rFonts w:ascii="Times New Roman" w:hAnsi="Times New Roman" w:cs="Times New Roman"/>
                <w:sz w:val="24"/>
                <w:szCs w:val="24"/>
                <w:lang w:val="ru-RU"/>
              </w:rPr>
            </w:pPr>
            <w:r>
              <w:rPr>
                <w:rFonts w:ascii="Times New Roman" w:hAnsi="Times New Roman" w:cs="Times New Roman"/>
                <w:spacing w:val="-3"/>
                <w:sz w:val="24"/>
                <w:szCs w:val="24"/>
              </w:rPr>
              <w:t xml:space="preserve"> м. п.</w:t>
            </w: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keepLines/>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100</w:t>
            </w:r>
            <w:r/>
          </w:p>
        </w:tc>
      </w:tr>
    </w:tbl>
    <w:p>
      <w:pPr>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 </w:t>
      </w:r>
      <w:r/>
    </w:p>
    <w:p>
      <w:pPr>
        <w:ind w:firstLine="567"/>
        <w:jc w:val="both"/>
        <w:spacing w:after="0" w:line="240" w:lineRule="auto"/>
        <w:rPr>
          <w:rFonts w:ascii="Times New Roman" w:hAnsi="Times New Roman" w:cs="Times New Roman"/>
          <w:sz w:val="24"/>
          <w:szCs w:val="24"/>
          <w:lang w:val="ru-RU"/>
        </w:rPr>
      </w:pPr>
      <w:r>
        <w:rPr>
          <w:rFonts w:ascii="Times New Roman" w:hAnsi="Times New Roman" w:cs="Times New Roman"/>
          <w:b/>
          <w:bCs/>
          <w:sz w:val="24"/>
          <w:szCs w:val="24"/>
        </w:rPr>
        <w:t xml:space="preserve">Учасник надає гарантійні листи в довільній формі, що:</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1.Виконавець зобов’язаний дотримуватися Правил технічної експлуатації систем водопостачання і каналізації населених пунктів України. </w:t>
      </w:r>
      <w:r/>
    </w:p>
    <w:p>
      <w:pPr>
        <w:ind w:firstLine="567"/>
        <w:jc w:val="both"/>
        <w:spacing w:after="0" w:line="240" w:lineRule="auto"/>
        <w:rPr>
          <w:rFonts w:ascii="Times New Roman" w:hAnsi="Times New Roman" w:eastAsia="Calibri" w:cs="Times New Roman"/>
          <w:sz w:val="24"/>
          <w:szCs w:val="24"/>
          <w:lang w:val="ru-RU" w:eastAsia="uk-UA"/>
        </w:rPr>
      </w:pPr>
      <w:r>
        <w:rPr>
          <w:rFonts w:ascii="Times New Roman" w:hAnsi="Times New Roman" w:eastAsia="Calibri" w:cs="Times New Roman"/>
          <w:sz w:val="24"/>
          <w:szCs w:val="24"/>
          <w:lang w:eastAsia="uk-UA"/>
        </w:rPr>
        <w:t xml:space="preserve">2.Виконавець  зобов’язується власними силами  із залученням необхідної кількості працівників та техніки (</w:t>
      </w:r>
      <w:r>
        <w:rPr>
          <w:rFonts w:ascii="Times New Roman" w:hAnsi="Times New Roman" w:cs="Times New Roman"/>
          <w:sz w:val="24"/>
          <w:szCs w:val="24"/>
        </w:rPr>
        <w:t xml:space="preserve">мулососних</w:t>
      </w:r>
      <w:r>
        <w:rPr>
          <w:rFonts w:ascii="Times New Roman" w:hAnsi="Times New Roman" w:cs="Times New Roman"/>
          <w:sz w:val="24"/>
          <w:szCs w:val="24"/>
        </w:rPr>
        <w:t xml:space="preserve"> машин,</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машин для прочистки трубопроводів під високим тиском)</w:t>
      </w:r>
      <w:r>
        <w:rPr>
          <w:rFonts w:ascii="Times New Roman" w:hAnsi="Times New Roman" w:eastAsia="Calibri" w:cs="Times New Roman"/>
          <w:sz w:val="24"/>
          <w:szCs w:val="24"/>
          <w:lang w:eastAsia="uk-UA"/>
        </w:rPr>
        <w:t xml:space="preserve"> виконати зазначені послуги за вказаною </w:t>
      </w:r>
      <w:r>
        <w:rPr>
          <w:rFonts w:ascii="Times New Roman" w:hAnsi="Times New Roman" w:eastAsia="Calibri" w:cs="Times New Roman"/>
          <w:sz w:val="24"/>
          <w:szCs w:val="24"/>
          <w:lang w:eastAsia="uk-UA"/>
        </w:rPr>
        <w:t xml:space="preserve">адресою</w:t>
      </w:r>
      <w:r>
        <w:rPr>
          <w:rFonts w:ascii="Times New Roman" w:hAnsi="Times New Roman" w:eastAsia="Calibri" w:cs="Times New Roman"/>
          <w:sz w:val="24"/>
          <w:szCs w:val="24"/>
          <w:lang w:eastAsia="uk-UA"/>
        </w:rPr>
        <w:t xml:space="preserve">.</w:t>
      </w:r>
      <w:r/>
    </w:p>
    <w:p>
      <w:pPr>
        <w:ind w:firstLine="567"/>
        <w:jc w:val="both"/>
        <w:spacing w:after="0" w:line="240" w:lineRule="auto"/>
        <w:rPr>
          <w:rFonts w:ascii="Times New Roman" w:hAnsi="Times New Roman" w:eastAsia="Calibri" w:cs="Times New Roman"/>
          <w:sz w:val="24"/>
          <w:szCs w:val="24"/>
          <w:lang w:eastAsia="uk-UA"/>
        </w:rPr>
      </w:pPr>
      <w:r>
        <w:rPr>
          <w:rFonts w:ascii="Times New Roman" w:hAnsi="Times New Roman" w:eastAsia="Calibri" w:cs="Times New Roman"/>
          <w:sz w:val="24"/>
          <w:szCs w:val="24"/>
          <w:shd w:val="clear" w:color="auto" w:fill="ffffff"/>
          <w:lang w:eastAsia="uk-UA"/>
        </w:rPr>
        <w:t xml:space="preserve">3. Прочистку каналізаційної мережі на територій Установи</w:t>
      </w:r>
      <w:r>
        <w:rPr>
          <w:rFonts w:ascii="Times New Roman" w:hAnsi="Times New Roman" w:eastAsia="Calibri" w:cs="Times New Roman"/>
          <w:sz w:val="24"/>
          <w:szCs w:val="24"/>
          <w:lang w:eastAsia="uk-UA"/>
        </w:rPr>
        <w:t xml:space="preserve"> необхідно здійснювати в робочі дні тижня з 09.год.00хв. до 18 год.00хв. </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bCs/>
          <w:sz w:val="24"/>
          <w:szCs w:val="24"/>
        </w:rPr>
        <w:t xml:space="preserve">4. </w:t>
      </w:r>
      <w:r>
        <w:rPr>
          <w:rFonts w:ascii="Times New Roman" w:hAnsi="Times New Roman" w:cs="Times New Roman"/>
          <w:sz w:val="24"/>
          <w:szCs w:val="24"/>
          <w:shd w:val="clear" w:color="auto" w:fill="ffffff"/>
        </w:rPr>
        <w:t xml:space="preserve">Наявність у Виконавця </w:t>
      </w:r>
      <w:r>
        <w:rPr>
          <w:rFonts w:ascii="Times New Roman" w:hAnsi="Times New Roman" w:cs="Times New Roman"/>
          <w:sz w:val="24"/>
          <w:szCs w:val="24"/>
        </w:rPr>
        <w:t xml:space="preserve">Дозволу  Державної  служби  гірничого   нагляду  та промислової безпеки  України ( або </w:t>
      </w:r>
      <w:r>
        <w:rPr>
          <w:rFonts w:ascii="Times New Roman" w:hAnsi="Times New Roman" w:cs="Times New Roman"/>
          <w:sz w:val="24"/>
          <w:szCs w:val="24"/>
        </w:rPr>
        <w:t xml:space="preserve">Держпраці</w:t>
      </w:r>
      <w:r>
        <w:rPr>
          <w:rFonts w:ascii="Times New Roman" w:hAnsi="Times New Roman" w:cs="Times New Roman"/>
          <w:sz w:val="24"/>
          <w:szCs w:val="24"/>
        </w:rPr>
        <w:t xml:space="preserve">)  на  виконання  робіт  підвищеної  небезпеки (у колодязях,  колекторах, трубопроводах, котлованах ) </w:t>
      </w:r>
      <w:r>
        <w:rPr>
          <w:rFonts w:ascii="Times New Roman" w:hAnsi="Times New Roman" w:cs="Times New Roman"/>
          <w:b/>
          <w:bCs/>
          <w:i/>
          <w:iCs/>
          <w:sz w:val="24"/>
          <w:szCs w:val="24"/>
        </w:rPr>
        <w:t xml:space="preserve">(надати копію дозволу)</w:t>
      </w:r>
      <w:r>
        <w:rPr>
          <w:rFonts w:ascii="Times New Roman" w:hAnsi="Times New Roman" w:cs="Times New Roman"/>
          <w:sz w:val="24"/>
          <w:szCs w:val="24"/>
        </w:rPr>
        <w:t xml:space="preserve">.</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Після прочистки  каналізаційної мережі Виконавець надає Замовнику наступні документи:</w:t>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Акт наданих Послуг;</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Учасник гарантує, що надання послуг не повинно завдавати шкоди навколишньому середовищу та передбачає заходи щодо захисту довкілля.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Послуги надаються з дати підписання договору. Послуги </w:t>
      </w:r>
      <w:r>
        <w:rPr>
          <w:rFonts w:ascii="Times New Roman" w:hAnsi="Times New Roman" w:cs="Times New Roman"/>
          <w:spacing w:val="1"/>
          <w:sz w:val="24"/>
          <w:szCs w:val="24"/>
        </w:rPr>
        <w:t xml:space="preserve">з проведення гідродинамічної промивки зовнішньої каналізаційної мережі за </w:t>
      </w:r>
      <w:r>
        <w:rPr>
          <w:rFonts w:ascii="Times New Roman" w:hAnsi="Times New Roman" w:cs="Times New Roman"/>
          <w:spacing w:val="1"/>
          <w:sz w:val="24"/>
          <w:szCs w:val="24"/>
        </w:rPr>
        <w:t xml:space="preserve">адресою</w:t>
      </w:r>
      <w:r>
        <w:rPr>
          <w:rFonts w:ascii="Times New Roman" w:hAnsi="Times New Roman" w:cs="Times New Roman"/>
          <w:spacing w:val="1"/>
          <w:sz w:val="24"/>
          <w:szCs w:val="24"/>
        </w:rPr>
        <w:t xml:space="preserve">: вул. Волинська, 26 у Солом’янському районі м. Києва необхідно закінчити до 10.09.2023 року. </w:t>
      </w:r>
      <w:r>
        <w:rPr>
          <w:rFonts w:ascii="Times New Roman" w:hAnsi="Times New Roman" w:cs="Times New Roman"/>
          <w:sz w:val="24"/>
          <w:szCs w:val="24"/>
        </w:rPr>
        <w:t xml:space="preserve">Послуги </w:t>
      </w:r>
      <w:r>
        <w:rPr>
          <w:rFonts w:ascii="Times New Roman" w:hAnsi="Times New Roman" w:cs="Times New Roman"/>
          <w:spacing w:val="1"/>
          <w:sz w:val="24"/>
          <w:szCs w:val="24"/>
        </w:rPr>
        <w:t xml:space="preserve">з проведення гідродинамічної промивки зовнішньої каналізаційної мережі за </w:t>
      </w:r>
      <w:r>
        <w:rPr>
          <w:rFonts w:ascii="Times New Roman" w:hAnsi="Times New Roman" w:cs="Times New Roman"/>
          <w:spacing w:val="1"/>
          <w:sz w:val="24"/>
          <w:szCs w:val="24"/>
        </w:rPr>
        <w:t xml:space="preserve">адресою</w:t>
      </w:r>
      <w:r>
        <w:rPr>
          <w:rFonts w:ascii="Times New Roman" w:hAnsi="Times New Roman" w:cs="Times New Roman"/>
          <w:spacing w:val="1"/>
          <w:sz w:val="24"/>
          <w:szCs w:val="24"/>
        </w:rPr>
        <w:t xml:space="preserve">: вул. Волинська, 26 у Солом’янському районі м. Києва (аварійна) розпочинаються з моменту подачі Замовником заявки на проведення послуг у разі виникнення необхідності до 31.12.2023 року.</w:t>
      </w:r>
      <w:r/>
    </w:p>
    <w:p>
      <w:pPr>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Учаснику необхідно надати у складі тендерної пропозиції скановану копію оригіналу сертифікату </w:t>
      </w:r>
      <w:r>
        <w:rPr>
          <w:rFonts w:ascii="Times New Roman" w:hAnsi="Times New Roman" w:cs="Times New Roman"/>
          <w:sz w:val="24"/>
          <w:szCs w:val="24"/>
          <w:lang w:val="en-US"/>
        </w:rPr>
        <w:t xml:space="preserve">ISO</w:t>
      </w:r>
      <w:r>
        <w:rPr>
          <w:rFonts w:ascii="Times New Roman" w:hAnsi="Times New Roman" w:cs="Times New Roman"/>
          <w:sz w:val="24"/>
          <w:szCs w:val="24"/>
        </w:rPr>
        <w:t xml:space="preserve"> 9001 система управління якістю та оригінал звіту, Скановану копію оригіналу Оригінал сертифікату </w:t>
      </w:r>
      <w:r>
        <w:rPr>
          <w:rFonts w:ascii="Times New Roman" w:hAnsi="Times New Roman" w:cs="Times New Roman"/>
          <w:sz w:val="24"/>
          <w:szCs w:val="24"/>
          <w:lang w:val="en-US"/>
        </w:rPr>
        <w:t xml:space="preserve">ISO</w:t>
      </w:r>
      <w:r>
        <w:rPr>
          <w:rFonts w:ascii="Times New Roman" w:hAnsi="Times New Roman" w:cs="Times New Roman"/>
          <w:sz w:val="24"/>
          <w:szCs w:val="24"/>
        </w:rPr>
        <w:t xml:space="preserve"> 45001 управління охороною праці та оригінал звіту.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87 614,99</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вісімдесят сім тисяч шістсот чотирнадцять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99</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1"/>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9"/>
    <w:next w:val="72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3"/>
    <w:link w:val="12"/>
    <w:uiPriority w:val="9"/>
    <w:rPr>
      <w:rFonts w:ascii="Arial" w:hAnsi="Arial" w:eastAsia="Arial" w:cs="Arial"/>
      <w:sz w:val="40"/>
      <w:szCs w:val="40"/>
    </w:rPr>
  </w:style>
  <w:style w:type="character" w:styleId="15">
    <w:name w:val="Heading 2 Char"/>
    <w:basedOn w:val="733"/>
    <w:link w:val="730"/>
    <w:uiPriority w:val="9"/>
    <w:rPr>
      <w:rFonts w:ascii="Arial" w:hAnsi="Arial" w:eastAsia="Arial" w:cs="Arial"/>
      <w:sz w:val="34"/>
    </w:rPr>
  </w:style>
  <w:style w:type="character" w:styleId="17">
    <w:name w:val="Heading 3 Char"/>
    <w:basedOn w:val="733"/>
    <w:link w:val="731"/>
    <w:uiPriority w:val="9"/>
    <w:rPr>
      <w:rFonts w:ascii="Arial" w:hAnsi="Arial" w:eastAsia="Arial" w:cs="Arial"/>
      <w:sz w:val="30"/>
      <w:szCs w:val="30"/>
    </w:rPr>
  </w:style>
  <w:style w:type="character" w:styleId="19">
    <w:name w:val="Heading 4 Char"/>
    <w:basedOn w:val="733"/>
    <w:link w:val="732"/>
    <w:uiPriority w:val="9"/>
    <w:rPr>
      <w:rFonts w:ascii="Arial" w:hAnsi="Arial" w:eastAsia="Arial" w:cs="Arial"/>
      <w:b/>
      <w:bCs/>
      <w:sz w:val="26"/>
      <w:szCs w:val="26"/>
    </w:rPr>
  </w:style>
  <w:style w:type="paragraph" w:styleId="20">
    <w:name w:val="Heading 5"/>
    <w:basedOn w:val="729"/>
    <w:next w:val="72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3"/>
    <w:link w:val="20"/>
    <w:uiPriority w:val="9"/>
    <w:rPr>
      <w:rFonts w:ascii="Arial" w:hAnsi="Arial" w:eastAsia="Arial" w:cs="Arial"/>
      <w:b/>
      <w:bCs/>
      <w:sz w:val="24"/>
      <w:szCs w:val="24"/>
    </w:rPr>
  </w:style>
  <w:style w:type="paragraph" w:styleId="22">
    <w:name w:val="Heading 6"/>
    <w:basedOn w:val="729"/>
    <w:next w:val="72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3"/>
    <w:link w:val="22"/>
    <w:uiPriority w:val="9"/>
    <w:rPr>
      <w:rFonts w:ascii="Arial" w:hAnsi="Arial" w:eastAsia="Arial" w:cs="Arial"/>
      <w:b/>
      <w:bCs/>
      <w:sz w:val="22"/>
      <w:szCs w:val="22"/>
    </w:rPr>
  </w:style>
  <w:style w:type="paragraph" w:styleId="24">
    <w:name w:val="Heading 7"/>
    <w:basedOn w:val="729"/>
    <w:next w:val="72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3"/>
    <w:link w:val="24"/>
    <w:uiPriority w:val="9"/>
    <w:rPr>
      <w:rFonts w:ascii="Arial" w:hAnsi="Arial" w:eastAsia="Arial" w:cs="Arial"/>
      <w:b/>
      <w:bCs/>
      <w:i/>
      <w:iCs/>
      <w:sz w:val="22"/>
      <w:szCs w:val="22"/>
    </w:rPr>
  </w:style>
  <w:style w:type="paragraph" w:styleId="26">
    <w:name w:val="Heading 8"/>
    <w:basedOn w:val="729"/>
    <w:next w:val="72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3"/>
    <w:link w:val="26"/>
    <w:uiPriority w:val="9"/>
    <w:rPr>
      <w:rFonts w:ascii="Arial" w:hAnsi="Arial" w:eastAsia="Arial" w:cs="Arial"/>
      <w:i/>
      <w:iCs/>
      <w:sz w:val="22"/>
      <w:szCs w:val="22"/>
    </w:rPr>
  </w:style>
  <w:style w:type="paragraph" w:styleId="28">
    <w:name w:val="Heading 9"/>
    <w:basedOn w:val="729"/>
    <w:next w:val="72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3"/>
    <w:link w:val="28"/>
    <w:uiPriority w:val="9"/>
    <w:rPr>
      <w:rFonts w:ascii="Arial" w:hAnsi="Arial" w:eastAsia="Arial" w:cs="Arial"/>
      <w:i/>
      <w:iCs/>
      <w:sz w:val="21"/>
      <w:szCs w:val="21"/>
    </w:rPr>
  </w:style>
  <w:style w:type="paragraph" w:styleId="33">
    <w:name w:val="Title"/>
    <w:basedOn w:val="729"/>
    <w:next w:val="729"/>
    <w:link w:val="34"/>
    <w:uiPriority w:val="10"/>
    <w:qFormat/>
    <w:pPr>
      <w:contextualSpacing/>
      <w:spacing w:before="300" w:after="200"/>
    </w:pPr>
    <w:rPr>
      <w:sz w:val="48"/>
      <w:szCs w:val="48"/>
    </w:rPr>
  </w:style>
  <w:style w:type="character" w:styleId="34">
    <w:name w:val="Title Char"/>
    <w:basedOn w:val="733"/>
    <w:link w:val="33"/>
    <w:uiPriority w:val="10"/>
    <w:rPr>
      <w:sz w:val="48"/>
      <w:szCs w:val="48"/>
    </w:rPr>
  </w:style>
  <w:style w:type="paragraph" w:styleId="35">
    <w:name w:val="Subtitle"/>
    <w:basedOn w:val="729"/>
    <w:next w:val="729"/>
    <w:link w:val="36"/>
    <w:uiPriority w:val="11"/>
    <w:qFormat/>
    <w:pPr>
      <w:spacing w:before="200" w:after="200"/>
    </w:pPr>
    <w:rPr>
      <w:sz w:val="24"/>
      <w:szCs w:val="24"/>
    </w:rPr>
  </w:style>
  <w:style w:type="character" w:styleId="36">
    <w:name w:val="Subtitle Char"/>
    <w:basedOn w:val="733"/>
    <w:link w:val="35"/>
    <w:uiPriority w:val="11"/>
    <w:rPr>
      <w:sz w:val="24"/>
      <w:szCs w:val="24"/>
    </w:rPr>
  </w:style>
  <w:style w:type="paragraph" w:styleId="37">
    <w:name w:val="Quote"/>
    <w:basedOn w:val="729"/>
    <w:next w:val="729"/>
    <w:link w:val="38"/>
    <w:uiPriority w:val="29"/>
    <w:qFormat/>
    <w:pPr>
      <w:ind w:left="720" w:right="720"/>
    </w:pPr>
    <w:rPr>
      <w:i/>
    </w:rPr>
  </w:style>
  <w:style w:type="character" w:styleId="38">
    <w:name w:val="Quote Char"/>
    <w:link w:val="37"/>
    <w:uiPriority w:val="29"/>
    <w:rPr>
      <w:i/>
    </w:rPr>
  </w:style>
  <w:style w:type="paragraph" w:styleId="39">
    <w:name w:val="Intense Quote"/>
    <w:basedOn w:val="729"/>
    <w:next w:val="72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9"/>
    <w:link w:val="42"/>
    <w:uiPriority w:val="99"/>
    <w:unhideWhenUsed/>
    <w:pPr>
      <w:spacing w:after="0" w:line="240" w:lineRule="auto"/>
      <w:tabs>
        <w:tab w:val="center" w:pos="7143" w:leader="none"/>
        <w:tab w:val="right" w:pos="14287" w:leader="none"/>
      </w:tabs>
    </w:pPr>
  </w:style>
  <w:style w:type="character" w:styleId="42">
    <w:name w:val="Header Char"/>
    <w:basedOn w:val="733"/>
    <w:link w:val="41"/>
    <w:uiPriority w:val="99"/>
  </w:style>
  <w:style w:type="character" w:styleId="44">
    <w:name w:val="Footer Char"/>
    <w:basedOn w:val="733"/>
    <w:link w:val="742"/>
    <w:uiPriority w:val="99"/>
  </w:style>
  <w:style w:type="paragraph" w:styleId="45">
    <w:name w:val="Caption"/>
    <w:basedOn w:val="729"/>
    <w:next w:val="729"/>
    <w:uiPriority w:val="35"/>
    <w:semiHidden/>
    <w:unhideWhenUsed/>
    <w:qFormat/>
    <w:pPr>
      <w:spacing w:line="276" w:lineRule="auto"/>
    </w:pPr>
    <w:rPr>
      <w:b/>
      <w:bCs/>
      <w:color w:val="4f81bd" w:themeColor="accent1"/>
      <w:sz w:val="18"/>
      <w:szCs w:val="18"/>
    </w:rPr>
  </w:style>
  <w:style w:type="character" w:styleId="46">
    <w:name w:val="Caption Char"/>
    <w:basedOn w:val="45"/>
    <w:link w:val="742"/>
    <w:uiPriority w:val="99"/>
  </w:style>
  <w:style w:type="table" w:styleId="48">
    <w:name w:val="Table Grid Light"/>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3"/>
    <w:uiPriority w:val="99"/>
    <w:unhideWhenUsed/>
    <w:rPr>
      <w:vertAlign w:val="superscript"/>
    </w:rPr>
  </w:style>
  <w:style w:type="paragraph" w:styleId="177">
    <w:name w:val="endnote text"/>
    <w:basedOn w:val="72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3"/>
    <w:uiPriority w:val="99"/>
    <w:semiHidden/>
    <w:unhideWhenUsed/>
    <w:rPr>
      <w:vertAlign w:val="superscript"/>
    </w:rPr>
  </w:style>
  <w:style w:type="paragraph" w:styleId="180">
    <w:name w:val="toc 1"/>
    <w:basedOn w:val="729"/>
    <w:next w:val="729"/>
    <w:uiPriority w:val="39"/>
    <w:unhideWhenUsed/>
    <w:pPr>
      <w:ind w:left="0" w:right="0" w:firstLine="0"/>
      <w:spacing w:after="57"/>
    </w:pPr>
  </w:style>
  <w:style w:type="paragraph" w:styleId="181">
    <w:name w:val="toc 2"/>
    <w:basedOn w:val="729"/>
    <w:next w:val="729"/>
    <w:uiPriority w:val="39"/>
    <w:unhideWhenUsed/>
    <w:pPr>
      <w:ind w:left="283" w:right="0" w:firstLine="0"/>
      <w:spacing w:after="57"/>
    </w:pPr>
  </w:style>
  <w:style w:type="paragraph" w:styleId="182">
    <w:name w:val="toc 3"/>
    <w:basedOn w:val="729"/>
    <w:next w:val="729"/>
    <w:uiPriority w:val="39"/>
    <w:unhideWhenUsed/>
    <w:pPr>
      <w:ind w:left="567" w:right="0" w:firstLine="0"/>
      <w:spacing w:after="57"/>
    </w:pPr>
  </w:style>
  <w:style w:type="paragraph" w:styleId="183">
    <w:name w:val="toc 4"/>
    <w:basedOn w:val="729"/>
    <w:next w:val="729"/>
    <w:uiPriority w:val="39"/>
    <w:unhideWhenUsed/>
    <w:pPr>
      <w:ind w:left="850" w:right="0" w:firstLine="0"/>
      <w:spacing w:after="57"/>
    </w:pPr>
  </w:style>
  <w:style w:type="paragraph" w:styleId="184">
    <w:name w:val="toc 5"/>
    <w:basedOn w:val="729"/>
    <w:next w:val="729"/>
    <w:uiPriority w:val="39"/>
    <w:unhideWhenUsed/>
    <w:pPr>
      <w:ind w:left="1134" w:right="0" w:firstLine="0"/>
      <w:spacing w:after="57"/>
    </w:pPr>
  </w:style>
  <w:style w:type="paragraph" w:styleId="185">
    <w:name w:val="toc 6"/>
    <w:basedOn w:val="729"/>
    <w:next w:val="729"/>
    <w:uiPriority w:val="39"/>
    <w:unhideWhenUsed/>
    <w:pPr>
      <w:ind w:left="1417" w:right="0" w:firstLine="0"/>
      <w:spacing w:after="57"/>
    </w:pPr>
  </w:style>
  <w:style w:type="paragraph" w:styleId="186">
    <w:name w:val="toc 7"/>
    <w:basedOn w:val="729"/>
    <w:next w:val="729"/>
    <w:uiPriority w:val="39"/>
    <w:unhideWhenUsed/>
    <w:pPr>
      <w:ind w:left="1701" w:right="0" w:firstLine="0"/>
      <w:spacing w:after="57"/>
    </w:pPr>
  </w:style>
  <w:style w:type="paragraph" w:styleId="187">
    <w:name w:val="toc 8"/>
    <w:basedOn w:val="729"/>
    <w:next w:val="729"/>
    <w:uiPriority w:val="39"/>
    <w:unhideWhenUsed/>
    <w:pPr>
      <w:ind w:left="1984" w:right="0" w:firstLine="0"/>
      <w:spacing w:after="57"/>
    </w:pPr>
  </w:style>
  <w:style w:type="paragraph" w:styleId="188">
    <w:name w:val="toc 9"/>
    <w:basedOn w:val="729"/>
    <w:next w:val="72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9"/>
    <w:next w:val="729"/>
    <w:uiPriority w:val="99"/>
    <w:unhideWhenUsed/>
    <w:pPr>
      <w:spacing w:after="0" w:afterAutospacing="0"/>
    </w:pPr>
  </w:style>
  <w:style w:type="paragraph" w:styleId="729" w:default="1">
    <w:name w:val="Normal"/>
    <w:qFormat/>
    <w:rPr>
      <w:lang w:val="uk-UA"/>
    </w:rPr>
  </w:style>
  <w:style w:type="paragraph" w:styleId="730">
    <w:name w:val="Heading 2"/>
    <w:basedOn w:val="729"/>
    <w:link w:val="75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1">
    <w:name w:val="Heading 3"/>
    <w:basedOn w:val="729"/>
    <w:next w:val="729"/>
    <w:link w:val="76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2">
    <w:name w:val="Heading 4"/>
    <w:basedOn w:val="729"/>
    <w:next w:val="729"/>
    <w:link w:val="76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paragraph" w:styleId="736">
    <w:name w:val="List Paragraph"/>
    <w:basedOn w:val="729"/>
    <w:link w:val="737"/>
    <w:uiPriority w:val="34"/>
    <w:qFormat/>
    <w:pPr>
      <w:contextualSpacing/>
      <w:ind w:left="720"/>
      <w:spacing w:after="200" w:line="276" w:lineRule="auto"/>
    </w:pPr>
    <w:rPr>
      <w:rFonts w:ascii="Calibri" w:hAnsi="Calibri" w:eastAsia="Calibri" w:cs="Calibri"/>
      <w:lang w:val="ru-RU" w:eastAsia="zh-CN"/>
    </w:rPr>
  </w:style>
  <w:style w:type="character" w:styleId="737" w:customStyle="1">
    <w:name w:val="Абзац списку Знак"/>
    <w:link w:val="736"/>
    <w:uiPriority w:val="34"/>
    <w:qFormat/>
    <w:rPr>
      <w:rFonts w:ascii="Calibri" w:hAnsi="Calibri" w:eastAsia="Calibri" w:cs="Calibri"/>
      <w:lang w:eastAsia="zh-CN"/>
    </w:rPr>
  </w:style>
  <w:style w:type="table" w:styleId="738">
    <w:name w:val="Table Grid"/>
    <w:basedOn w:val="73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9" w:customStyle="1">
    <w:name w:val="Сетка таблицы2"/>
    <w:basedOn w:val="734"/>
    <w:next w:val="73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Normal (Web)"/>
    <w:basedOn w:val="729"/>
    <w:link w:val="747"/>
    <w:unhideWhenUsed/>
    <w:qFormat/>
    <w:rPr>
      <w:rFonts w:ascii="Times New Roman" w:hAnsi="Times New Roman" w:cs="Times New Roman"/>
      <w:sz w:val="24"/>
      <w:szCs w:val="24"/>
    </w:rPr>
  </w:style>
  <w:style w:type="table" w:styleId="741" w:customStyle="1">
    <w:name w:val="Сетка таблицы1"/>
    <w:basedOn w:val="734"/>
    <w:next w:val="73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Footer"/>
    <w:basedOn w:val="729"/>
    <w:link w:val="74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3" w:customStyle="1">
    <w:name w:val="Нижній колонтитул Знак"/>
    <w:basedOn w:val="733"/>
    <w:link w:val="742"/>
    <w:uiPriority w:val="99"/>
    <w:rPr>
      <w:rFonts w:ascii="Calibri" w:hAnsi="Calibri" w:eastAsia="Calibri" w:cs="Calibri"/>
      <w:lang w:eastAsia="zh-CN"/>
    </w:rPr>
  </w:style>
  <w:style w:type="paragraph" w:styleId="74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5">
    <w:name w:val="Hyperlink"/>
    <w:basedOn w:val="733"/>
    <w:uiPriority w:val="99"/>
    <w:unhideWhenUsed/>
    <w:rPr>
      <w:color w:val="0563c1" w:themeColor="hyperlink"/>
      <w:u w:val="single"/>
    </w:rPr>
  </w:style>
  <w:style w:type="character" w:styleId="746" w:customStyle="1">
    <w:name w:val="xfm_93972720"/>
    <w:basedOn w:val="733"/>
  </w:style>
  <w:style w:type="character" w:styleId="747" w:customStyle="1">
    <w:name w:val="Звичайний (веб) Знак"/>
    <w:link w:val="740"/>
    <w:qFormat/>
    <w:rPr>
      <w:rFonts w:ascii="Times New Roman" w:hAnsi="Times New Roman" w:cs="Times New Roman"/>
      <w:sz w:val="24"/>
      <w:szCs w:val="24"/>
      <w:lang w:val="uk-UA"/>
    </w:rPr>
  </w:style>
  <w:style w:type="paragraph" w:styleId="748">
    <w:name w:val="Body Text 2"/>
    <w:basedOn w:val="729"/>
    <w:link w:val="749"/>
    <w:pPr>
      <w:spacing w:after="0" w:line="240" w:lineRule="auto"/>
    </w:pPr>
    <w:rPr>
      <w:rFonts w:ascii="Times New Roman" w:hAnsi="Times New Roman" w:eastAsia="Times New Roman" w:cs="Times New Roman"/>
      <w:sz w:val="28"/>
      <w:szCs w:val="20"/>
      <w:lang w:val="ru-RU" w:eastAsia="ru-RU"/>
    </w:rPr>
  </w:style>
  <w:style w:type="character" w:styleId="749" w:customStyle="1">
    <w:name w:val="Основний текст 2 Знак"/>
    <w:basedOn w:val="733"/>
    <w:link w:val="748"/>
    <w:rPr>
      <w:rFonts w:ascii="Times New Roman" w:hAnsi="Times New Roman" w:eastAsia="Times New Roman" w:cs="Times New Roman"/>
      <w:sz w:val="28"/>
      <w:szCs w:val="20"/>
      <w:lang w:eastAsia="ru-RU"/>
    </w:rPr>
  </w:style>
  <w:style w:type="paragraph" w:styleId="75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1" w:customStyle="1">
    <w:name w:val="Заголовок 2 Знак"/>
    <w:basedOn w:val="733"/>
    <w:link w:val="730"/>
    <w:uiPriority w:val="9"/>
    <w:rPr>
      <w:rFonts w:ascii="Times New Roman" w:hAnsi="Times New Roman" w:eastAsia="Times New Roman" w:cs="Times New Roman"/>
      <w:b/>
      <w:bCs/>
      <w:sz w:val="36"/>
      <w:szCs w:val="36"/>
      <w:lang w:val="uk-UA" w:eastAsia="uk-UA"/>
    </w:rPr>
  </w:style>
  <w:style w:type="paragraph" w:styleId="752">
    <w:name w:val="No Spacing"/>
    <w:link w:val="753"/>
    <w:uiPriority w:val="1"/>
    <w:qFormat/>
    <w:pPr>
      <w:spacing w:after="0" w:line="240" w:lineRule="auto"/>
    </w:pPr>
    <w:rPr>
      <w:rFonts w:ascii="Calibri" w:hAnsi="Calibri" w:eastAsia="Calibri" w:cs="Times New Roman"/>
      <w:lang w:val="uk-UA"/>
    </w:rPr>
  </w:style>
  <w:style w:type="character" w:styleId="753" w:customStyle="1">
    <w:name w:val="Без інтервалів Знак"/>
    <w:basedOn w:val="733"/>
    <w:link w:val="752"/>
    <w:uiPriority w:val="1"/>
    <w:rPr>
      <w:rFonts w:ascii="Calibri" w:hAnsi="Calibri" w:eastAsia="Calibri" w:cs="Times New Roman"/>
      <w:lang w:val="uk-UA"/>
    </w:rPr>
  </w:style>
  <w:style w:type="character" w:styleId="754" w:customStyle="1">
    <w:name w:val="Другое_"/>
    <w:basedOn w:val="733"/>
    <w:link w:val="755"/>
    <w:rPr>
      <w:rFonts w:ascii="Calibri" w:hAnsi="Calibri" w:eastAsia="Calibri" w:cs="Calibri"/>
      <w:sz w:val="20"/>
      <w:szCs w:val="20"/>
    </w:rPr>
  </w:style>
  <w:style w:type="paragraph" w:styleId="755" w:customStyle="1">
    <w:name w:val="Другое"/>
    <w:basedOn w:val="729"/>
    <w:link w:val="754"/>
    <w:qFormat/>
    <w:pPr>
      <w:spacing w:after="0" w:line="240" w:lineRule="auto"/>
      <w:widowControl w:val="off"/>
    </w:pPr>
    <w:rPr>
      <w:rFonts w:ascii="Calibri" w:hAnsi="Calibri" w:eastAsia="Calibri" w:cs="Calibri"/>
      <w:sz w:val="20"/>
      <w:szCs w:val="20"/>
      <w:lang w:val="ru-RU"/>
    </w:rPr>
  </w:style>
  <w:style w:type="paragraph" w:styleId="75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7" w:customStyle="1">
    <w:name w:val="Основной текст (2)_"/>
    <w:basedOn w:val="733"/>
    <w:link w:val="758"/>
    <w:rPr>
      <w:rFonts w:eastAsia="Times New Roman" w:cs="Times New Roman"/>
      <w:shd w:val="clear" w:color="auto" w:fill="ffffff"/>
    </w:rPr>
  </w:style>
  <w:style w:type="paragraph" w:styleId="758" w:customStyle="1">
    <w:name w:val="Основной текст (2)"/>
    <w:basedOn w:val="729"/>
    <w:link w:val="757"/>
    <w:pPr>
      <w:ind w:hanging="700"/>
      <w:jc w:val="both"/>
      <w:spacing w:before="240" w:after="480" w:line="0" w:lineRule="atLeast"/>
      <w:shd w:val="clear" w:color="auto" w:fill="ffffff"/>
      <w:widowControl w:val="off"/>
    </w:pPr>
    <w:rPr>
      <w:rFonts w:eastAsia="Times New Roman" w:cs="Times New Roman"/>
      <w:lang w:val="ru-RU"/>
    </w:rPr>
  </w:style>
  <w:style w:type="character" w:styleId="759" w:customStyle="1">
    <w:name w:val="Текст у виносці Знак"/>
    <w:basedOn w:val="733"/>
    <w:link w:val="760"/>
    <w:uiPriority w:val="99"/>
    <w:semiHidden/>
    <w:rPr>
      <w:rFonts w:ascii="Segoe UI" w:hAnsi="Segoe UI" w:eastAsia="Times New Roman" w:cs="Segoe UI"/>
      <w:sz w:val="18"/>
      <w:szCs w:val="18"/>
      <w:lang w:eastAsia="ru-RU"/>
    </w:rPr>
  </w:style>
  <w:style w:type="paragraph" w:styleId="760">
    <w:name w:val="Balloon Text"/>
    <w:basedOn w:val="729"/>
    <w:link w:val="75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1" w:customStyle="1">
    <w:name w:val="Текст у виносці Знак1"/>
    <w:basedOn w:val="733"/>
    <w:uiPriority w:val="99"/>
    <w:semiHidden/>
    <w:rPr>
      <w:rFonts w:ascii="Segoe UI" w:hAnsi="Segoe UI" w:cs="Segoe UI"/>
      <w:sz w:val="18"/>
      <w:szCs w:val="18"/>
      <w:lang w:val="uk-UA"/>
    </w:rPr>
  </w:style>
  <w:style w:type="character" w:styleId="762" w:customStyle="1">
    <w:name w:val="T23"/>
    <w:rPr>
      <w:rFonts w:hint="default" w:ascii="Times New Roman" w:hAnsi="Times New Roman" w:eastAsia="Times New Roman1" w:cs="Times New Roman"/>
    </w:rPr>
  </w:style>
  <w:style w:type="paragraph" w:styleId="763" w:customStyle="1">
    <w:name w:val="Абзац списку1"/>
    <w:basedOn w:val="72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4" w:customStyle="1">
    <w:name w:val="markedcontent"/>
    <w:basedOn w:val="733"/>
  </w:style>
  <w:style w:type="paragraph" w:styleId="765">
    <w:name w:val="annotation text"/>
    <w:basedOn w:val="729"/>
    <w:link w:val="76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6" w:customStyle="1">
    <w:name w:val="Текст примітки Знак"/>
    <w:basedOn w:val="733"/>
    <w:link w:val="765"/>
    <w:uiPriority w:val="99"/>
    <w:rPr>
      <w:rFonts w:ascii="Times New Roman" w:hAnsi="Times New Roman" w:eastAsia="Times New Roman" w:cs="Times New Roman"/>
      <w:sz w:val="20"/>
      <w:szCs w:val="20"/>
      <w:lang w:eastAsia="ru-RU"/>
    </w:rPr>
  </w:style>
  <w:style w:type="character" w:styleId="767" w:customStyle="1">
    <w:name w:val="docdata"/>
    <w:basedOn w:val="733"/>
  </w:style>
  <w:style w:type="character" w:styleId="768" w:customStyle="1">
    <w:name w:val="Заголовок 3 Знак"/>
    <w:basedOn w:val="733"/>
    <w:link w:val="731"/>
    <w:uiPriority w:val="9"/>
    <w:semiHidden/>
    <w:rPr>
      <w:rFonts w:asciiTheme="majorHAnsi" w:hAnsiTheme="majorHAnsi" w:eastAsiaTheme="majorEastAsia" w:cstheme="majorBidi"/>
      <w:color w:val="1f4d78" w:themeColor="accent1" w:themeShade="7F"/>
      <w:sz w:val="24"/>
      <w:szCs w:val="24"/>
      <w:lang w:val="uk-UA"/>
    </w:rPr>
  </w:style>
  <w:style w:type="character" w:styleId="769" w:customStyle="1">
    <w:name w:val="Заголовок 4 Знак"/>
    <w:basedOn w:val="733"/>
    <w:link w:val="732"/>
    <w:uiPriority w:val="9"/>
    <w:semiHidden/>
    <w:rPr>
      <w:rFonts w:asciiTheme="majorHAnsi" w:hAnsiTheme="majorHAnsi" w:eastAsiaTheme="majorEastAsia" w:cstheme="majorBidi"/>
      <w:i/>
      <w:iCs/>
      <w:color w:val="2e74b5" w:themeColor="accent1" w:themeShade="BF"/>
      <w:lang w:val="uk-UA"/>
    </w:rPr>
  </w:style>
  <w:style w:type="paragraph" w:styleId="770" w:customStyle="1">
    <w:name w:val="name-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cont-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2">
    <w:name w:val="Strong"/>
    <w:basedOn w:val="733"/>
    <w:uiPriority w:val="22"/>
    <w:qFormat/>
    <w:rPr>
      <w:b/>
      <w:bCs/>
    </w:rPr>
  </w:style>
  <w:style w:type="paragraph" w:styleId="773" w:customStyle="1">
    <w:name w:val="rvps6"/>
    <w:basedOn w:val="72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168</cp:revision>
  <dcterms:created xsi:type="dcterms:W3CDTF">2022-11-01T12:47:00Z</dcterms:created>
  <dcterms:modified xsi:type="dcterms:W3CDTF">2024-07-16T07:12:31Z</dcterms:modified>
</cp:coreProperties>
</file>