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10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Закупівля автоматизованих робочих місць за кодом CPV за ЄЗС ДК 021:2015: 30210000-4 Машини для обробки даних (апаратна частина)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05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8920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lang w:eastAsia="ru-RU"/>
        </w:rPr>
        <w:t xml:space="preserve"> </w:t>
      </w:r>
      <w:bookmarkStart w:id="0" w:name="_Hlk133583335"/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Закупівля автоматизованих робочих місць за кодом CPV за ЄЗС ДК 021:2015: 30210000-4 Машини для обробки даних (апаратна частина)</w:t>
      </w:r>
      <w:bookmarkEnd w:id="0"/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716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Style w:val="718"/>
              <w:jc w:val="center"/>
              <w:rPr>
                <w:rFonts w:eastAsia="Times New Roman"/>
                <w:b/>
                <w:bCs/>
                <w:lang w:val="ru-RU"/>
              </w:rPr>
            </w:pPr>
            <w:r>
              <w:rPr>
                <w:rFonts w:eastAsia="Times New Roman"/>
                <w:b/>
                <w:bCs/>
              </w:rPr>
              <w:t xml:space="preserve">№ 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718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Назва системи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718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Кількість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718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Одиниця виміру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718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718"/>
              <w:jc w:val="both"/>
              <w:rPr>
                <w:rFonts w:eastAsia="Times New Roman"/>
                <w:b/>
              </w:rPr>
            </w:pPr>
            <w:r>
              <w:rPr>
                <w:rStyle w:val="742"/>
                <w:rFonts w:eastAsia="Times New Roman"/>
                <w:b/>
                <w:bCs/>
                <w:shd w:val="clear" w:color="auto" w:fill="ffffff"/>
              </w:rPr>
              <w:t xml:space="preserve">Автоматизоване робоче місце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18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18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шт.</w:t>
            </w:r>
            <w:r/>
          </w:p>
        </w:tc>
      </w:tr>
    </w:tbl>
    <w:p>
      <w:pPr>
        <w:pStyle w:val="718"/>
        <w:jc w:val="both"/>
        <w:spacing w:after="0" w:line="240" w:lineRule="auto"/>
        <w:rPr>
          <w:rFonts w:eastAsia="Times New Roman"/>
          <w:b/>
          <w:bCs/>
          <w:i/>
          <w:iCs/>
          <w:lang w:eastAsia="ru-RU"/>
        </w:rPr>
      </w:pPr>
      <w:r>
        <w:rPr>
          <w:rFonts w:eastAsia="Times New Roman"/>
          <w:b/>
          <w:bCs/>
          <w:i/>
          <w:iCs/>
          <w:lang w:eastAsia="ru-RU"/>
        </w:rPr>
      </w:r>
      <w:r/>
    </w:p>
    <w:p>
      <w:pPr>
        <w:pStyle w:val="718"/>
        <w:jc w:val="both"/>
        <w:spacing w:after="0" w:line="240" w:lineRule="auto"/>
        <w:rPr>
          <w:rFonts w:eastAsia="Times New Roman"/>
          <w:b/>
          <w:bCs/>
          <w:i/>
          <w:iCs/>
          <w:lang w:eastAsia="ru-RU"/>
        </w:rPr>
      </w:pPr>
      <w:r>
        <w:rPr>
          <w:rFonts w:eastAsia="Times New Roman"/>
          <w:b/>
          <w:bCs/>
          <w:i/>
          <w:iCs/>
          <w:lang w:eastAsia="ru-RU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rFonts w:eastAsia="Times New Roman"/>
          <w:b/>
          <w:bCs/>
          <w:i/>
          <w:iCs/>
          <w:lang w:eastAsia="ru-RU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rFonts w:eastAsia="Times New Roman"/>
          <w:b/>
          <w:bCs/>
          <w:i/>
          <w:iCs/>
          <w:lang w:eastAsia="ru-RU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rFonts w:eastAsia="Times New Roman"/>
          <w:b/>
          <w:bCs/>
          <w:i/>
          <w:iCs/>
          <w:lang w:eastAsia="ru-RU"/>
        </w:rPr>
        <w:t xml:space="preserve">проєкту</w:t>
      </w:r>
      <w:r>
        <w:rPr>
          <w:rFonts w:eastAsia="Times New Roman"/>
          <w:b/>
          <w:bCs/>
          <w:i/>
          <w:iCs/>
          <w:lang w:eastAsia="ru-RU"/>
        </w:rPr>
        <w:t xml:space="preserve"> Договору до моменту його повного завершення</w:t>
      </w:r>
      <w:r>
        <w:rPr>
          <w:rFonts w:eastAsia="Times New Roman"/>
          <w:b/>
          <w:bCs/>
          <w:i/>
          <w:iCs/>
          <w:lang w:eastAsia="uk-UA"/>
        </w:rPr>
        <w:t xml:space="preserve">.</w:t>
      </w:r>
      <w:r/>
    </w:p>
    <w:p>
      <w:pPr>
        <w:pStyle w:val="718"/>
        <w:ind w:firstLine="567"/>
        <w:jc w:val="both"/>
        <w:spacing w:after="0" w:line="240" w:lineRule="auto"/>
        <w:rPr>
          <w:rFonts w:eastAsia="Times New Roman"/>
          <w:color w:val="000000" w:themeColor="text1"/>
          <w:shd w:val="clear" w:color="auto" w:fill="ffffff"/>
        </w:rPr>
      </w:pPr>
      <w:r/>
      <w:bookmarkStart w:id="1" w:name="_Hlk131598067"/>
      <w:r>
        <w:rPr>
          <w:rFonts w:eastAsia="Times New Roman"/>
          <w:color w:val="000000" w:themeColor="text1"/>
          <w:shd w:val="clear" w:color="auto" w:fill="ffffff"/>
          <w:lang w:eastAsia="uk-UA"/>
        </w:rPr>
        <w:t xml:space="preserve">1. Товар повинен постачатись новим в упаковці та з маркуванням виробника, а також повинна бути в наявності технічна документація, яка входить до комплекту постачання фірми-виробника.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У разі постачання неякісного Товару, Постачальник забезпечує заміну неякісного Товару якісним за власний рахунок при пред’явлені Покупцем не пізніше 7 робочих днів після отримання Товару.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 Наявність заявлених Покупцем недоліків та причини їх виникнення повинно встановлюватись актом обстеження технічного стану Товару, який обов’язково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укладається між Сторонами і є підставою для усунення Постачальником недоліків Товару у термін, що узгоджується за домовленістю Сторін. Акт обстеження технічного стану складається сервісним (технічним) центром Постачальника за участю представника Покупця.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Виконання постачання повинно здійснюватися у відповідно до діючих нормативно-правових документів та умов цього </w:t>
      </w:r>
      <w:r>
        <w:rPr>
          <w:rFonts w:ascii="Times New Roman" w:hAnsi="Times New Roman" w:cs="Times New Roman"/>
          <w:sz w:val="24"/>
          <w:szCs w:val="24"/>
        </w:rPr>
        <w:t xml:space="preserve">проєкту</w:t>
      </w:r>
      <w:r>
        <w:rPr>
          <w:rFonts w:ascii="Times New Roman" w:hAnsi="Times New Roman" w:cs="Times New Roman"/>
          <w:sz w:val="24"/>
          <w:szCs w:val="24"/>
        </w:rPr>
        <w:t xml:space="preserve"> Договору.</w:t>
      </w:r>
      <w:bookmarkStart w:id="2" w:name="_Hlk131682113"/>
      <w:r/>
      <w:bookmarkEnd w:id="1"/>
      <w:r/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Надати у складі пропозиції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копію чинної ліцензії </w:t>
      </w:r>
      <w:r>
        <w:rPr>
          <w:rFonts w:ascii="Times New Roman" w:hAnsi="Times New Roman" w:cs="Times New Roman"/>
          <w:sz w:val="24"/>
          <w:szCs w:val="24"/>
        </w:rPr>
        <w:t xml:space="preserve">або документа дозвільного характеру (у разі їх наявності) на провадження певного виду господарської діяльності, якщо отримання дозволу або ліцензії на провадження такого виду діяльності передбачено законом.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</w:t>
      </w:r>
      <w:r/>
    </w:p>
    <w:p>
      <w:pPr>
        <w:pStyle w:val="714"/>
        <w:ind w:left="0"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 xml:space="preserve">Гарантійні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зобов’язання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всіх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найменувань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повинні</w:t>
      </w:r>
      <w:r>
        <w:rPr>
          <w:rFonts w:ascii="Times New Roman" w:hAnsi="Times New Roman" w:cs="Times New Roman"/>
          <w:sz w:val="24"/>
          <w:szCs w:val="24"/>
        </w:rPr>
        <w:t xml:space="preserve"> бути не </w:t>
      </w:r>
      <w:r>
        <w:rPr>
          <w:rFonts w:ascii="Times New Roman" w:hAnsi="Times New Roman" w:cs="Times New Roman"/>
          <w:sz w:val="24"/>
          <w:szCs w:val="24"/>
        </w:rPr>
        <w:t xml:space="preserve">менше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строків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визначених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технічними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умовами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виробника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товарів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складати не менше 12 ти місяців з дати підписання видаткової накладної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Постачальник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повинен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забезпечити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обслуговування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підтримку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протягом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гарантійного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терміну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(надати гарантійний лист).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7. Товар повинен бути офіційно ввезений на територію України та мати відповідні документи (надати гарантійний лист).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contextualSpacing/>
        <w:ind w:left="14" w:firstLine="538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16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after="0" w:line="240" w:lineRule="auto"/>
        <w:rPr>
          <w:rFonts w:ascii="Times New Roman" w:hAnsi="Times New Roman" w:eastAsia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згідно з якими заборонено здійснення державних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</w:r>
      <w:r/>
    </w:p>
    <w:p>
      <w:pPr>
        <w:pStyle w:val="718"/>
        <w:ind w:firstLine="567"/>
        <w:jc w:val="center"/>
        <w:spacing w:after="0" w:line="240" w:lineRule="auto"/>
        <w:rPr>
          <w:rStyle w:val="740"/>
          <w:b/>
          <w:lang w:eastAsia="ru-RU"/>
        </w:rPr>
      </w:pPr>
      <w:r>
        <w:rPr>
          <w:rStyle w:val="740"/>
          <w:b/>
          <w:bCs/>
          <w:lang w:eastAsia="ru-RU"/>
        </w:rPr>
        <w:t xml:space="preserve">СПЕЦИФІКАЦІЯ</w:t>
      </w:r>
      <w:r/>
    </w:p>
    <w:tbl>
      <w:tblPr>
        <w:tblW w:w="10333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68"/>
        <w:gridCol w:w="2410"/>
        <w:gridCol w:w="1571"/>
        <w:gridCol w:w="4933"/>
        <w:gridCol w:w="851"/>
      </w:tblGrid>
      <w:tr>
        <w:trPr>
          <w:trHeight w:val="5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Предмет закупівлі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Технічні характеристики предмету закупівлі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К-сть</w:t>
            </w:r>
            <w:r/>
          </w:p>
        </w:tc>
      </w:tr>
      <w:tr>
        <w:trPr>
          <w:trHeight w:val="5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Автоматизоване робоче місце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 складі: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Системний блок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</w:t>
            </w:r>
            <w:r/>
          </w:p>
        </w:tc>
      </w:tr>
      <w:tr>
        <w:trPr>
          <w:trHeight w:val="157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Процесор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Кількість фізичних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ядер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не менше ніж 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Кількість потоків: не менше ніж 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Обсяг кеш-пам’яті: не менше 18 MB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Базова тактова частота процесора: не менше 2,50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GHz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Максимальна тактова частота у режимі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Turbo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Boost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не менше 4,40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GHz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Оперативна пам’ять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гірше 16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DDR4 3200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MHz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двохканальний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режим роботи)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Накопичувач SSD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Об'єм SSD - не менше ніж 1000GB m.2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NVMe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PCIex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Графічний адаптер: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Інтегрований, не гірше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Intel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UHD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Graphics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26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Порти вводу-виводу: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45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Порти вводу\виводу (не менше, без застосування зовнішніх перехідників 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розгалуджувачів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1 порт VGA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1 порт DVI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1 порт HDMI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1 порт RJ-45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4 порти USB на задній панелі, з них не менше ніж 2 порти USB 3.2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Gen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Type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4 порти USB на передній панелі, з них не менше ніж 2 порти USB 3.2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Gen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Type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-A та 1 порт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Type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картрідер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3 Аудіо порти на задній панелі, 2 Аудіо порти на передній панелі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13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Корпус та блок живлення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Блок живлення: потужністю не менше 500 Вт, який забезпечує надійну роботу усіх компонентів системного блоку, вентилятор блоку живлення не менше 120 мм;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Форм-фактор корпусу: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mATX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Розташування блоку живлення у нижній частині корпусу;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Наявність на передній панелі корпусу не менше ніж 1-го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слоту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3,5”;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Наявність не менше ніж 1-го попередньо встановленого вентилятора типорозміру 120 мм на передній панелі корпусу, та не менше ніж 1-го попередньо встановленого вентилятора типорозміру 120 мм на задній панелі корпусу.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Матеріал корпусу: сталь. Товщина стінок не менше ніж 0,6 мм;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Розміри, мм: не більше ніж 300 х 170 х 355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Наявність системи безпеки у вигляді датчика відкриття корпусу.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13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 комплекті клавіатура та миша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 підключення: бездротовий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Інтерфейс комунікації з ПК: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радіоінтерфейс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Кількість кнопок клавіатури: не менше ніж 104, з окремим блоком для набору цифр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Технологія миші: оптична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Кількість кнопок миші щонайменше 3: ліва, права, колесо-кнопка для скролінг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Програмне забезпечення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Операційна система: Microsoft® Windows® 11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предінстальована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технологію ОЕМ активації ОА 3.0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Активація проводиться замовником, ключ активації повинен бути вшитим у BIOS материнської плати системного блоку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Гарантія, міс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менше 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</w:tbl>
    <w:p>
      <w:pPr>
        <w:pStyle w:val="718"/>
        <w:ind w:firstLine="567"/>
        <w:jc w:val="center"/>
        <w:spacing w:after="0" w:line="240" w:lineRule="auto"/>
        <w:rPr>
          <w:rStyle w:val="740"/>
          <w:b/>
          <w:bCs/>
          <w:lang w:eastAsia="ru-RU"/>
        </w:rPr>
      </w:pPr>
      <w:r>
        <w:rPr>
          <w:b/>
          <w:bCs/>
          <w:lang w:eastAsia="ru-RU"/>
        </w:rPr>
      </w:r>
      <w:r/>
    </w:p>
    <w:p>
      <w:pPr>
        <w:contextualSpacing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Вимоги до предмету закупівлі:</w:t>
      </w:r>
      <w:r/>
    </w:p>
    <w:p>
      <w:pPr>
        <w:pStyle w:val="714"/>
        <w:numPr>
          <w:ilvl w:val="0"/>
          <w:numId w:val="32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підтвердження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відповідності</w:t>
      </w:r>
      <w:r>
        <w:rPr>
          <w:rFonts w:ascii="Times New Roman" w:hAnsi="Times New Roman" w:cs="Times New Roman"/>
          <w:sz w:val="24"/>
          <w:szCs w:val="24"/>
        </w:rPr>
        <w:t xml:space="preserve"> товару, </w:t>
      </w:r>
      <w:r>
        <w:rPr>
          <w:rFonts w:ascii="Times New Roman" w:hAnsi="Times New Roman" w:cs="Times New Roman"/>
          <w:sz w:val="24"/>
          <w:szCs w:val="24"/>
        </w:rPr>
        <w:t xml:space="preserve">що</w:t>
      </w:r>
      <w:r>
        <w:rPr>
          <w:rFonts w:ascii="Times New Roman" w:hAnsi="Times New Roman" w:cs="Times New Roman"/>
          <w:sz w:val="24"/>
          <w:szCs w:val="24"/>
        </w:rPr>
        <w:t xml:space="preserve"> входить </w:t>
      </w:r>
      <w:r>
        <w:rPr>
          <w:rFonts w:ascii="Times New Roman" w:hAnsi="Times New Roman" w:cs="Times New Roman"/>
          <w:sz w:val="24"/>
          <w:szCs w:val="24"/>
        </w:rPr>
        <w:t xml:space="preserve">до складу</w:t>
      </w:r>
      <w:r>
        <w:rPr>
          <w:rFonts w:ascii="Times New Roman" w:hAnsi="Times New Roman" w:cs="Times New Roman"/>
          <w:sz w:val="24"/>
          <w:szCs w:val="24"/>
        </w:rPr>
        <w:t xml:space="preserve"> предмету </w:t>
      </w:r>
      <w:r>
        <w:rPr>
          <w:rFonts w:ascii="Times New Roman" w:hAnsi="Times New Roman" w:cs="Times New Roman"/>
          <w:sz w:val="24"/>
          <w:szCs w:val="24"/>
        </w:rPr>
        <w:t xml:space="preserve">закупівлі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системні</w:t>
      </w:r>
      <w:r>
        <w:rPr>
          <w:rFonts w:ascii="Times New Roman" w:hAnsi="Times New Roman" w:cs="Times New Roman"/>
          <w:sz w:val="24"/>
          <w:szCs w:val="24"/>
        </w:rPr>
        <w:t xml:space="preserve"> блоки) </w:t>
      </w:r>
      <w:r>
        <w:rPr>
          <w:rFonts w:ascii="Times New Roman" w:hAnsi="Times New Roman" w:cs="Times New Roman"/>
          <w:sz w:val="24"/>
          <w:szCs w:val="24"/>
        </w:rPr>
        <w:t xml:space="preserve">Учасник</w:t>
      </w:r>
      <w:r>
        <w:rPr>
          <w:rFonts w:ascii="Times New Roman" w:hAnsi="Times New Roman" w:cs="Times New Roman"/>
          <w:sz w:val="24"/>
          <w:szCs w:val="24"/>
        </w:rPr>
        <w:t xml:space="preserve"> повинен </w:t>
      </w:r>
      <w:r>
        <w:rPr>
          <w:rFonts w:ascii="Times New Roman" w:hAnsi="Times New Roman" w:cs="Times New Roman"/>
          <w:sz w:val="24"/>
          <w:szCs w:val="24"/>
        </w:rPr>
        <w:t xml:space="preserve">надати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копію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/>
    </w:p>
    <w:p>
      <w:pPr>
        <w:pStyle w:val="714"/>
        <w:numPr>
          <w:ilvl w:val="0"/>
          <w:numId w:val="33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Технічного</w:t>
      </w:r>
      <w:r>
        <w:rPr>
          <w:rFonts w:ascii="Times New Roman" w:hAnsi="Times New Roman" w:cs="Times New Roman"/>
          <w:sz w:val="24"/>
          <w:szCs w:val="24"/>
        </w:rPr>
        <w:t xml:space="preserve"> регламенту з </w:t>
      </w:r>
      <w:r>
        <w:rPr>
          <w:rFonts w:ascii="Times New Roman" w:hAnsi="Times New Roman" w:cs="Times New Roman"/>
          <w:sz w:val="24"/>
          <w:szCs w:val="24"/>
        </w:rPr>
        <w:t xml:space="preserve">електромагнітної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сумісності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обладнання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затвердженого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постановою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Кабінету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Міністрів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від</w:t>
      </w:r>
      <w:r>
        <w:rPr>
          <w:rFonts w:ascii="Times New Roman" w:hAnsi="Times New Roman" w:cs="Times New Roman"/>
          <w:sz w:val="24"/>
          <w:szCs w:val="24"/>
        </w:rPr>
        <w:t xml:space="preserve"> 16 </w:t>
      </w:r>
      <w:r>
        <w:rPr>
          <w:rFonts w:ascii="Times New Roman" w:hAnsi="Times New Roman" w:cs="Times New Roman"/>
          <w:sz w:val="24"/>
          <w:szCs w:val="24"/>
        </w:rPr>
        <w:t xml:space="preserve">грудня</w:t>
      </w:r>
      <w:r>
        <w:rPr>
          <w:rFonts w:ascii="Times New Roman" w:hAnsi="Times New Roman" w:cs="Times New Roman"/>
          <w:sz w:val="24"/>
          <w:szCs w:val="24"/>
        </w:rPr>
        <w:t xml:space="preserve"> 2015 р. № 1077;</w:t>
      </w:r>
      <w:r/>
    </w:p>
    <w:p>
      <w:pPr>
        <w:pStyle w:val="714"/>
        <w:numPr>
          <w:ilvl w:val="0"/>
          <w:numId w:val="33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Технічного</w:t>
      </w:r>
      <w:r>
        <w:rPr>
          <w:rFonts w:ascii="Times New Roman" w:hAnsi="Times New Roman" w:cs="Times New Roman"/>
          <w:sz w:val="24"/>
          <w:szCs w:val="24"/>
        </w:rPr>
        <w:t xml:space="preserve"> регламенту </w:t>
      </w:r>
      <w:r>
        <w:rPr>
          <w:rFonts w:ascii="Times New Roman" w:hAnsi="Times New Roman" w:cs="Times New Roman"/>
          <w:sz w:val="24"/>
          <w:szCs w:val="24"/>
        </w:rPr>
        <w:t xml:space="preserve">низьковольтного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електричного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обладнання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затвердженого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постановою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Кабінету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Міністрів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від</w:t>
      </w:r>
      <w:r>
        <w:rPr>
          <w:rFonts w:ascii="Times New Roman" w:hAnsi="Times New Roman" w:cs="Times New Roman"/>
          <w:sz w:val="24"/>
          <w:szCs w:val="24"/>
        </w:rPr>
        <w:t xml:space="preserve"> 16 </w:t>
      </w:r>
      <w:r>
        <w:rPr>
          <w:rFonts w:ascii="Times New Roman" w:hAnsi="Times New Roman" w:cs="Times New Roman"/>
          <w:sz w:val="24"/>
          <w:szCs w:val="24"/>
        </w:rPr>
        <w:t xml:space="preserve">грудня</w:t>
      </w:r>
      <w:r>
        <w:rPr>
          <w:rFonts w:ascii="Times New Roman" w:hAnsi="Times New Roman" w:cs="Times New Roman"/>
          <w:sz w:val="24"/>
          <w:szCs w:val="24"/>
        </w:rPr>
        <w:t xml:space="preserve"> 2015 р. № 1067;</w:t>
      </w:r>
      <w:r/>
    </w:p>
    <w:p>
      <w:pPr>
        <w:pStyle w:val="714"/>
        <w:numPr>
          <w:ilvl w:val="0"/>
          <w:numId w:val="33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Технічного</w:t>
      </w:r>
      <w:r>
        <w:rPr>
          <w:rFonts w:ascii="Times New Roman" w:hAnsi="Times New Roman" w:cs="Times New Roman"/>
          <w:sz w:val="24"/>
          <w:szCs w:val="24"/>
        </w:rPr>
        <w:t xml:space="preserve"> регламенту </w:t>
      </w:r>
      <w:r>
        <w:rPr>
          <w:rFonts w:ascii="Times New Roman" w:hAnsi="Times New Roman" w:cs="Times New Roman"/>
          <w:sz w:val="24"/>
          <w:szCs w:val="24"/>
        </w:rPr>
        <w:t xml:space="preserve">обмеження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використання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небезпечних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речовин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електричному</w:t>
      </w:r>
      <w:r>
        <w:rPr>
          <w:rFonts w:ascii="Times New Roman" w:hAnsi="Times New Roman" w:cs="Times New Roman"/>
          <w:sz w:val="24"/>
          <w:szCs w:val="24"/>
        </w:rPr>
        <w:t xml:space="preserve"> та </w:t>
      </w:r>
      <w:r>
        <w:rPr>
          <w:rFonts w:ascii="Times New Roman" w:hAnsi="Times New Roman" w:cs="Times New Roman"/>
          <w:sz w:val="24"/>
          <w:szCs w:val="24"/>
        </w:rPr>
        <w:t xml:space="preserve">електронному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обладнанні</w:t>
      </w:r>
      <w:r>
        <w:rPr>
          <w:rFonts w:ascii="Times New Roman" w:hAnsi="Times New Roman" w:cs="Times New Roman"/>
          <w:sz w:val="24"/>
          <w:szCs w:val="24"/>
        </w:rPr>
        <w:t xml:space="preserve"> (ПКМУ №139 </w:t>
      </w:r>
      <w:r>
        <w:rPr>
          <w:rFonts w:ascii="Times New Roman" w:hAnsi="Times New Roman" w:cs="Times New Roman"/>
          <w:sz w:val="24"/>
          <w:szCs w:val="24"/>
        </w:rPr>
        <w:t xml:space="preserve">від</w:t>
      </w:r>
      <w:r>
        <w:rPr>
          <w:rFonts w:ascii="Times New Roman" w:hAnsi="Times New Roman" w:cs="Times New Roman"/>
          <w:sz w:val="24"/>
          <w:szCs w:val="24"/>
        </w:rPr>
        <w:t xml:space="preserve"> 10.03.2017);</w:t>
      </w:r>
      <w:r/>
    </w:p>
    <w:p>
      <w:pPr>
        <w:pStyle w:val="714"/>
        <w:numPr>
          <w:ilvl w:val="0"/>
          <w:numId w:val="33"/>
        </w:numPr>
        <w:ind w:left="0" w:firstLine="70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Сертифікату</w:t>
      </w:r>
      <w:r>
        <w:rPr>
          <w:rFonts w:ascii="Times New Roman" w:hAnsi="Times New Roman" w:cs="Times New Roman"/>
          <w:sz w:val="24"/>
          <w:szCs w:val="24"/>
        </w:rPr>
        <w:t xml:space="preserve"> на систему </w:t>
      </w:r>
      <w:r>
        <w:rPr>
          <w:rFonts w:ascii="Times New Roman" w:hAnsi="Times New Roman" w:cs="Times New Roman"/>
          <w:sz w:val="24"/>
          <w:szCs w:val="24"/>
        </w:rPr>
        <w:t xml:space="preserve">управління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якістю</w:t>
      </w:r>
      <w:r>
        <w:rPr>
          <w:rFonts w:ascii="Times New Roman" w:hAnsi="Times New Roman" w:cs="Times New Roman"/>
          <w:sz w:val="24"/>
          <w:szCs w:val="24"/>
        </w:rPr>
        <w:t xml:space="preserve"> ДСТУ ISO 9001:2018; </w:t>
      </w:r>
      <w:r/>
    </w:p>
    <w:p>
      <w:pPr>
        <w:pStyle w:val="714"/>
        <w:numPr>
          <w:ilvl w:val="0"/>
          <w:numId w:val="33"/>
        </w:numPr>
        <w:ind w:left="0" w:firstLine="70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Сертифікату</w:t>
      </w:r>
      <w:r>
        <w:rPr>
          <w:rFonts w:ascii="Times New Roman" w:hAnsi="Times New Roman" w:cs="Times New Roman"/>
          <w:sz w:val="24"/>
          <w:szCs w:val="24"/>
        </w:rPr>
        <w:t xml:space="preserve"> на систему </w:t>
      </w:r>
      <w:r>
        <w:rPr>
          <w:rFonts w:ascii="Times New Roman" w:hAnsi="Times New Roman" w:cs="Times New Roman"/>
          <w:sz w:val="24"/>
          <w:szCs w:val="24"/>
        </w:rPr>
        <w:t xml:space="preserve">екологічного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керування</w:t>
      </w:r>
      <w:r>
        <w:rPr>
          <w:rFonts w:ascii="Times New Roman" w:hAnsi="Times New Roman" w:cs="Times New Roman"/>
          <w:sz w:val="24"/>
          <w:szCs w:val="24"/>
        </w:rPr>
        <w:t xml:space="preserve"> ДСТУ ISO 14001:2015; </w:t>
      </w:r>
      <w:r/>
    </w:p>
    <w:p>
      <w:pPr>
        <w:pStyle w:val="714"/>
        <w:numPr>
          <w:ilvl w:val="0"/>
          <w:numId w:val="33"/>
        </w:numPr>
        <w:ind w:left="0" w:firstLine="70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Сертифікату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системи</w:t>
      </w:r>
      <w:r>
        <w:rPr>
          <w:rFonts w:ascii="Times New Roman" w:hAnsi="Times New Roman" w:cs="Times New Roman"/>
          <w:sz w:val="24"/>
          <w:szCs w:val="24"/>
        </w:rPr>
        <w:t xml:space="preserve"> менеджменту </w:t>
      </w:r>
      <w:r>
        <w:rPr>
          <w:rFonts w:ascii="Times New Roman" w:hAnsi="Times New Roman" w:cs="Times New Roman"/>
          <w:sz w:val="24"/>
          <w:szCs w:val="24"/>
        </w:rPr>
        <w:t xml:space="preserve">інформаційної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безпеки</w:t>
      </w:r>
      <w:r>
        <w:rPr>
          <w:rFonts w:ascii="Times New Roman" w:hAnsi="Times New Roman" w:cs="Times New Roman"/>
          <w:sz w:val="24"/>
          <w:szCs w:val="24"/>
        </w:rPr>
        <w:t xml:space="preserve"> ISO/IEC 27001:2022;</w:t>
      </w:r>
      <w:r/>
    </w:p>
    <w:p>
      <w:pPr>
        <w:pStyle w:val="714"/>
        <w:numPr>
          <w:ilvl w:val="0"/>
          <w:numId w:val="33"/>
        </w:numPr>
        <w:ind w:left="0" w:firstLine="70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Сертифікату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системи</w:t>
      </w:r>
      <w:r>
        <w:rPr>
          <w:rFonts w:ascii="Times New Roman" w:hAnsi="Times New Roman" w:cs="Times New Roman"/>
          <w:sz w:val="24"/>
          <w:szCs w:val="24"/>
        </w:rPr>
        <w:t xml:space="preserve"> менеджменту </w:t>
      </w:r>
      <w:r>
        <w:rPr>
          <w:rFonts w:ascii="Times New Roman" w:hAnsi="Times New Roman" w:cs="Times New Roman"/>
          <w:sz w:val="24"/>
          <w:szCs w:val="24"/>
        </w:rPr>
        <w:t xml:space="preserve">охорони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здоров'я</w:t>
      </w:r>
      <w:r>
        <w:rPr>
          <w:rFonts w:ascii="Times New Roman" w:hAnsi="Times New Roman" w:cs="Times New Roman"/>
          <w:sz w:val="24"/>
          <w:szCs w:val="24"/>
        </w:rPr>
        <w:t xml:space="preserve"> та </w:t>
      </w:r>
      <w:r>
        <w:rPr>
          <w:rFonts w:ascii="Times New Roman" w:hAnsi="Times New Roman" w:cs="Times New Roman"/>
          <w:sz w:val="24"/>
          <w:szCs w:val="24"/>
        </w:rPr>
        <w:t xml:space="preserve">безпеки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праці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Вимоги</w:t>
      </w:r>
      <w:r>
        <w:rPr>
          <w:rFonts w:ascii="Times New Roman" w:hAnsi="Times New Roman" w:cs="Times New Roman"/>
          <w:sz w:val="24"/>
          <w:szCs w:val="24"/>
        </w:rPr>
        <w:t xml:space="preserve"> та </w:t>
      </w:r>
      <w:r>
        <w:rPr>
          <w:rFonts w:ascii="Times New Roman" w:hAnsi="Times New Roman" w:cs="Times New Roman"/>
          <w:sz w:val="24"/>
          <w:szCs w:val="24"/>
        </w:rPr>
        <w:t xml:space="preserve">настанови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щодо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застосовування</w:t>
      </w:r>
      <w:r>
        <w:rPr>
          <w:rFonts w:ascii="Times New Roman" w:hAnsi="Times New Roman" w:cs="Times New Roman"/>
          <w:sz w:val="24"/>
          <w:szCs w:val="24"/>
        </w:rPr>
        <w:t xml:space="preserve"> ISO 45001:2018;</w:t>
      </w:r>
      <w:r/>
    </w:p>
    <w:p>
      <w:pPr>
        <w:pStyle w:val="714"/>
        <w:numPr>
          <w:ilvl w:val="0"/>
          <w:numId w:val="33"/>
        </w:numPr>
        <w:ind w:left="0" w:firstLine="70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Копію</w:t>
      </w:r>
      <w:r>
        <w:rPr>
          <w:rFonts w:ascii="Times New Roman" w:hAnsi="Times New Roman" w:cs="Times New Roman"/>
          <w:sz w:val="24"/>
          <w:szCs w:val="24"/>
        </w:rPr>
        <w:t xml:space="preserve"> чинного </w:t>
      </w:r>
      <w:r>
        <w:rPr>
          <w:rFonts w:ascii="Times New Roman" w:hAnsi="Times New Roman" w:cs="Times New Roman"/>
          <w:sz w:val="24"/>
          <w:szCs w:val="24"/>
        </w:rPr>
        <w:t xml:space="preserve">висновку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державної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санітарно-епідеміологічної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експертизи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pStyle w:val="714"/>
        <w:numPr>
          <w:ilvl w:val="0"/>
          <w:numId w:val="32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Якщо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Учасник</w:t>
      </w:r>
      <w:r>
        <w:rPr>
          <w:rFonts w:ascii="Times New Roman" w:hAnsi="Times New Roman" w:cs="Times New Roman"/>
          <w:sz w:val="24"/>
          <w:szCs w:val="24"/>
        </w:rPr>
        <w:t xml:space="preserve"> не є </w:t>
      </w:r>
      <w:r>
        <w:rPr>
          <w:rFonts w:ascii="Times New Roman" w:hAnsi="Times New Roman" w:cs="Times New Roman"/>
          <w:sz w:val="24"/>
          <w:szCs w:val="24"/>
        </w:rPr>
        <w:t xml:space="preserve">виробником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обладнання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що</w:t>
      </w:r>
      <w:r>
        <w:rPr>
          <w:rFonts w:ascii="Times New Roman" w:hAnsi="Times New Roman" w:cs="Times New Roman"/>
          <w:sz w:val="24"/>
          <w:szCs w:val="24"/>
        </w:rPr>
        <w:t xml:space="preserve"> входить </w:t>
      </w:r>
      <w:r>
        <w:rPr>
          <w:rFonts w:ascii="Times New Roman" w:hAnsi="Times New Roman" w:cs="Times New Roman"/>
          <w:sz w:val="24"/>
          <w:szCs w:val="24"/>
        </w:rPr>
        <w:t xml:space="preserve">до складу</w:t>
      </w:r>
      <w:r>
        <w:rPr>
          <w:rFonts w:ascii="Times New Roman" w:hAnsi="Times New Roman" w:cs="Times New Roman"/>
          <w:sz w:val="24"/>
          <w:szCs w:val="24"/>
        </w:rPr>
        <w:t xml:space="preserve"> предмету </w:t>
      </w:r>
      <w:r>
        <w:rPr>
          <w:rFonts w:ascii="Times New Roman" w:hAnsi="Times New Roman" w:cs="Times New Roman"/>
          <w:sz w:val="24"/>
          <w:szCs w:val="24"/>
        </w:rPr>
        <w:t xml:space="preserve">закупівлі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системні</w:t>
      </w:r>
      <w:r>
        <w:rPr>
          <w:rFonts w:ascii="Times New Roman" w:hAnsi="Times New Roman" w:cs="Times New Roman"/>
          <w:sz w:val="24"/>
          <w:szCs w:val="24"/>
        </w:rPr>
        <w:t xml:space="preserve"> блоки), то </w:t>
      </w:r>
      <w:r>
        <w:rPr>
          <w:rFonts w:ascii="Times New Roman" w:hAnsi="Times New Roman" w:cs="Times New Roman"/>
          <w:sz w:val="24"/>
          <w:szCs w:val="24"/>
        </w:rPr>
        <w:t xml:space="preserve">він</w:t>
      </w:r>
      <w:r>
        <w:rPr>
          <w:rFonts w:ascii="Times New Roman" w:hAnsi="Times New Roman" w:cs="Times New Roman"/>
          <w:sz w:val="24"/>
          <w:szCs w:val="24"/>
        </w:rPr>
        <w:t xml:space="preserve"> повинен </w:t>
      </w:r>
      <w:r>
        <w:rPr>
          <w:rFonts w:ascii="Times New Roman" w:hAnsi="Times New Roman" w:cs="Times New Roman"/>
          <w:sz w:val="24"/>
          <w:szCs w:val="24"/>
        </w:rPr>
        <w:t xml:space="preserve">надати</w:t>
      </w:r>
      <w:r>
        <w:rPr>
          <w:rFonts w:ascii="Times New Roman" w:hAnsi="Times New Roman" w:cs="Times New Roman"/>
          <w:sz w:val="24"/>
          <w:szCs w:val="24"/>
        </w:rPr>
        <w:t xml:space="preserve"> лист </w:t>
      </w:r>
      <w:r>
        <w:rPr>
          <w:rFonts w:ascii="Times New Roman" w:hAnsi="Times New Roman" w:cs="Times New Roman"/>
          <w:sz w:val="24"/>
          <w:szCs w:val="24"/>
        </w:rPr>
        <w:t xml:space="preserve">від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виробника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продукції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його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офіційного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представника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дистриб'ютора</w:t>
      </w:r>
      <w:r>
        <w:rPr>
          <w:rFonts w:ascii="Times New Roman" w:hAnsi="Times New Roman" w:cs="Times New Roman"/>
          <w:sz w:val="24"/>
          <w:szCs w:val="24"/>
        </w:rPr>
        <w:t xml:space="preserve">) на </w:t>
      </w:r>
      <w:r>
        <w:rPr>
          <w:rFonts w:ascii="Times New Roman" w:hAnsi="Times New Roman" w:cs="Times New Roman"/>
          <w:sz w:val="24"/>
          <w:szCs w:val="24"/>
        </w:rPr>
        <w:t xml:space="preserve">території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України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який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підтверджує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представницькі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партнерські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дилерські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агентські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дистриб’юторські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тощо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повноваження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учасника</w:t>
      </w:r>
      <w:r>
        <w:rPr>
          <w:rFonts w:ascii="Times New Roman" w:hAnsi="Times New Roman" w:cs="Times New Roman"/>
          <w:sz w:val="24"/>
          <w:szCs w:val="24"/>
        </w:rPr>
        <w:t xml:space="preserve">. Лист повинен бути </w:t>
      </w:r>
      <w:r>
        <w:rPr>
          <w:rFonts w:ascii="Times New Roman" w:hAnsi="Times New Roman" w:cs="Times New Roman"/>
          <w:sz w:val="24"/>
          <w:szCs w:val="24"/>
        </w:rPr>
        <w:t xml:space="preserve">адресований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Учаснику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Замовнику</w:t>
      </w:r>
      <w:r>
        <w:rPr>
          <w:rFonts w:ascii="Times New Roman" w:hAnsi="Times New Roman" w:cs="Times New Roman"/>
          <w:sz w:val="24"/>
          <w:szCs w:val="24"/>
        </w:rPr>
        <w:t xml:space="preserve">, та </w:t>
      </w:r>
      <w:r>
        <w:rPr>
          <w:rFonts w:ascii="Times New Roman" w:hAnsi="Times New Roman" w:cs="Times New Roman"/>
          <w:sz w:val="24"/>
          <w:szCs w:val="24"/>
        </w:rPr>
        <w:t xml:space="preserve">містити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інформацію</w:t>
      </w:r>
      <w:r>
        <w:rPr>
          <w:rFonts w:ascii="Times New Roman" w:hAnsi="Times New Roman" w:cs="Times New Roman"/>
          <w:sz w:val="24"/>
          <w:szCs w:val="24"/>
        </w:rPr>
        <w:t xml:space="preserve"> з </w:t>
      </w:r>
      <w:r>
        <w:rPr>
          <w:rFonts w:ascii="Times New Roman" w:hAnsi="Times New Roman" w:cs="Times New Roman"/>
          <w:sz w:val="24"/>
          <w:szCs w:val="24"/>
        </w:rPr>
        <w:t xml:space="preserve">посиланням</w:t>
      </w:r>
      <w:r>
        <w:rPr>
          <w:rFonts w:ascii="Times New Roman" w:hAnsi="Times New Roman" w:cs="Times New Roman"/>
          <w:sz w:val="24"/>
          <w:szCs w:val="24"/>
        </w:rPr>
        <w:t xml:space="preserve"> на номер і дату </w:t>
      </w:r>
      <w:r>
        <w:rPr>
          <w:rFonts w:ascii="Times New Roman" w:hAnsi="Times New Roman" w:cs="Times New Roman"/>
          <w:sz w:val="24"/>
          <w:szCs w:val="24"/>
        </w:rPr>
        <w:t xml:space="preserve">оприлюднення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оголошення</w:t>
      </w:r>
      <w:r>
        <w:rPr>
          <w:rFonts w:ascii="Times New Roman" w:hAnsi="Times New Roman" w:cs="Times New Roman"/>
          <w:sz w:val="24"/>
          <w:szCs w:val="24"/>
        </w:rPr>
        <w:t xml:space="preserve"> на веб-</w:t>
      </w:r>
      <w:r>
        <w:rPr>
          <w:rFonts w:ascii="Times New Roman" w:hAnsi="Times New Roman" w:cs="Times New Roman"/>
          <w:sz w:val="24"/>
          <w:szCs w:val="24"/>
        </w:rPr>
        <w:t xml:space="preserve">порталі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Уповноваженого</w:t>
      </w:r>
      <w:r>
        <w:rPr>
          <w:rFonts w:ascii="Times New Roman" w:hAnsi="Times New Roman" w:cs="Times New Roman"/>
          <w:sz w:val="24"/>
          <w:szCs w:val="24"/>
        </w:rPr>
        <w:t xml:space="preserve"> органу, </w:t>
      </w:r>
      <w:r>
        <w:rPr>
          <w:rFonts w:ascii="Times New Roman" w:hAnsi="Times New Roman" w:cs="Times New Roman"/>
          <w:sz w:val="24"/>
          <w:szCs w:val="24"/>
        </w:rPr>
        <w:t xml:space="preserve">найменування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запропонованого</w:t>
      </w:r>
      <w:r>
        <w:rPr>
          <w:rFonts w:ascii="Times New Roman" w:hAnsi="Times New Roman" w:cs="Times New Roman"/>
          <w:sz w:val="24"/>
          <w:szCs w:val="24"/>
        </w:rPr>
        <w:t xml:space="preserve"> Товару.</w:t>
      </w:r>
      <w:r/>
    </w:p>
    <w:p>
      <w:pPr>
        <w:pStyle w:val="714"/>
        <w:numPr>
          <w:ilvl w:val="0"/>
          <w:numId w:val="32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 документах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що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містять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технічний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опис</w:t>
      </w:r>
      <w:r>
        <w:rPr>
          <w:rFonts w:ascii="Times New Roman" w:hAnsi="Times New Roman" w:cs="Times New Roman"/>
          <w:sz w:val="24"/>
          <w:szCs w:val="24"/>
        </w:rPr>
        <w:t xml:space="preserve"> предмета </w:t>
      </w:r>
      <w:r>
        <w:rPr>
          <w:rFonts w:ascii="Times New Roman" w:hAnsi="Times New Roman" w:cs="Times New Roman"/>
          <w:sz w:val="24"/>
          <w:szCs w:val="24"/>
        </w:rPr>
        <w:t xml:space="preserve">закупівлі</w:t>
      </w:r>
      <w:r>
        <w:rPr>
          <w:rFonts w:ascii="Times New Roman" w:hAnsi="Times New Roman" w:cs="Times New Roman"/>
          <w:sz w:val="24"/>
          <w:szCs w:val="24"/>
        </w:rPr>
        <w:t xml:space="preserve"> та </w:t>
      </w:r>
      <w:r>
        <w:rPr>
          <w:rFonts w:ascii="Times New Roman" w:hAnsi="Times New Roman" w:cs="Times New Roman"/>
          <w:sz w:val="24"/>
          <w:szCs w:val="24"/>
        </w:rPr>
        <w:t xml:space="preserve">додаються</w:t>
      </w:r>
      <w:r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 xml:space="preserve">тендерної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пропозиції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інформації</w:t>
      </w:r>
      <w:r>
        <w:rPr>
          <w:rFonts w:ascii="Times New Roman" w:hAnsi="Times New Roman" w:cs="Times New Roman"/>
          <w:sz w:val="24"/>
          <w:szCs w:val="24"/>
        </w:rPr>
        <w:t xml:space="preserve"> про </w:t>
      </w:r>
      <w:r>
        <w:rPr>
          <w:rFonts w:ascii="Times New Roman" w:hAnsi="Times New Roman" w:cs="Times New Roman"/>
          <w:sz w:val="24"/>
          <w:szCs w:val="24"/>
        </w:rPr>
        <w:t xml:space="preserve">відповідність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тендерної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пропозиції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технічним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якісним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кількісним</w:t>
      </w:r>
      <w:r>
        <w:rPr>
          <w:rFonts w:ascii="Times New Roman" w:hAnsi="Times New Roman" w:cs="Times New Roman"/>
          <w:sz w:val="24"/>
          <w:szCs w:val="24"/>
        </w:rPr>
        <w:t xml:space="preserve"> та </w:t>
      </w:r>
      <w:r>
        <w:rPr>
          <w:rFonts w:ascii="Times New Roman" w:hAnsi="Times New Roman" w:cs="Times New Roman"/>
          <w:sz w:val="24"/>
          <w:szCs w:val="24"/>
        </w:rPr>
        <w:t xml:space="preserve">іншим</w:t>
      </w:r>
      <w:r>
        <w:rPr>
          <w:rFonts w:ascii="Times New Roman" w:hAnsi="Times New Roman" w:cs="Times New Roman"/>
          <w:sz w:val="24"/>
          <w:szCs w:val="24"/>
        </w:rPr>
        <w:t xml:space="preserve"> характеристикам), повинен </w:t>
      </w:r>
      <w:r>
        <w:rPr>
          <w:rFonts w:ascii="Times New Roman" w:hAnsi="Times New Roman" w:cs="Times New Roman"/>
          <w:sz w:val="24"/>
          <w:szCs w:val="24"/>
        </w:rPr>
        <w:t xml:space="preserve">чітко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вказати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специфікації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продуктів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які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будуть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запропоновані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замовнику</w:t>
      </w:r>
      <w:r>
        <w:rPr>
          <w:rFonts w:ascii="Times New Roman" w:hAnsi="Times New Roman" w:cs="Times New Roman"/>
          <w:sz w:val="24"/>
          <w:szCs w:val="24"/>
        </w:rPr>
        <w:t xml:space="preserve">, для </w:t>
      </w:r>
      <w:r>
        <w:rPr>
          <w:rFonts w:ascii="Times New Roman" w:hAnsi="Times New Roman" w:cs="Times New Roman"/>
          <w:sz w:val="24"/>
          <w:szCs w:val="24"/>
        </w:rPr>
        <w:t xml:space="preserve">задоволення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технічних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вимог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тендерної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документації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Специфікації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повинні</w:t>
      </w:r>
      <w:r>
        <w:rPr>
          <w:rFonts w:ascii="Times New Roman" w:hAnsi="Times New Roman" w:cs="Times New Roman"/>
          <w:sz w:val="24"/>
          <w:szCs w:val="24"/>
        </w:rPr>
        <w:t xml:space="preserve"> бути </w:t>
      </w:r>
      <w:r>
        <w:rPr>
          <w:rFonts w:ascii="Times New Roman" w:hAnsi="Times New Roman" w:cs="Times New Roman"/>
          <w:sz w:val="24"/>
          <w:szCs w:val="24"/>
        </w:rPr>
        <w:t xml:space="preserve">вказані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ступенем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деталізації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достатнім</w:t>
      </w:r>
      <w:r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</w:rPr>
        <w:t xml:space="preserve">внесення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специфікацій</w:t>
      </w:r>
      <w:r>
        <w:rPr>
          <w:rFonts w:ascii="Times New Roman" w:hAnsi="Times New Roman" w:cs="Times New Roman"/>
          <w:sz w:val="24"/>
          <w:szCs w:val="24"/>
        </w:rPr>
        <w:t xml:space="preserve"> у </w:t>
      </w:r>
      <w:r>
        <w:rPr>
          <w:rFonts w:ascii="Times New Roman" w:hAnsi="Times New Roman" w:cs="Times New Roman"/>
          <w:sz w:val="24"/>
          <w:szCs w:val="24"/>
        </w:rPr>
        <w:t xml:space="preserve">договір</w:t>
      </w:r>
      <w:r>
        <w:rPr>
          <w:rFonts w:ascii="Times New Roman" w:hAnsi="Times New Roman" w:cs="Times New Roman"/>
          <w:sz w:val="24"/>
          <w:szCs w:val="24"/>
        </w:rPr>
        <w:t xml:space="preserve"> про </w:t>
      </w:r>
      <w:r>
        <w:rPr>
          <w:rFonts w:ascii="Times New Roman" w:hAnsi="Times New Roman" w:cs="Times New Roman"/>
          <w:sz w:val="24"/>
          <w:szCs w:val="24"/>
        </w:rPr>
        <w:t xml:space="preserve">закупівлю</w:t>
      </w:r>
      <w:r>
        <w:rPr>
          <w:rFonts w:ascii="Times New Roman" w:hAnsi="Times New Roman" w:cs="Times New Roman"/>
          <w:sz w:val="24"/>
          <w:szCs w:val="24"/>
        </w:rPr>
        <w:t xml:space="preserve">, а </w:t>
      </w:r>
      <w:r>
        <w:rPr>
          <w:rFonts w:ascii="Times New Roman" w:hAnsi="Times New Roman" w:cs="Times New Roman"/>
          <w:sz w:val="24"/>
          <w:szCs w:val="24"/>
        </w:rPr>
        <w:t xml:space="preserve">також</w:t>
      </w:r>
      <w:r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</w:rPr>
        <w:t xml:space="preserve">виконання</w:t>
      </w:r>
      <w:r>
        <w:rPr>
          <w:rFonts w:ascii="Times New Roman" w:hAnsi="Times New Roman" w:cs="Times New Roman"/>
          <w:sz w:val="24"/>
          <w:szCs w:val="24"/>
        </w:rPr>
        <w:t xml:space="preserve"> самого договору.</w:t>
      </w:r>
      <w:r/>
    </w:p>
    <w:p>
      <w:pPr>
        <w:pStyle w:val="714"/>
        <w:numPr>
          <w:ilvl w:val="0"/>
          <w:numId w:val="32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надає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перелік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сервісних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центрів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служби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технічної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підтримки</w:t>
      </w:r>
      <w:r>
        <w:rPr>
          <w:rFonts w:ascii="Times New Roman" w:hAnsi="Times New Roman" w:cs="Times New Roman"/>
          <w:sz w:val="24"/>
          <w:szCs w:val="24"/>
        </w:rPr>
        <w:t xml:space="preserve">, у </w:t>
      </w:r>
      <w:r>
        <w:rPr>
          <w:rFonts w:ascii="Times New Roman" w:hAnsi="Times New Roman" w:cs="Times New Roman"/>
          <w:sz w:val="24"/>
          <w:szCs w:val="24"/>
        </w:rPr>
        <w:t xml:space="preserve">яких</w:t>
      </w:r>
      <w:r>
        <w:rPr>
          <w:rFonts w:ascii="Times New Roman" w:hAnsi="Times New Roman" w:cs="Times New Roman"/>
          <w:sz w:val="24"/>
          <w:szCs w:val="24"/>
        </w:rPr>
        <w:t xml:space="preserve"> буде </w:t>
      </w:r>
      <w:r>
        <w:rPr>
          <w:rFonts w:ascii="Times New Roman" w:hAnsi="Times New Roman" w:cs="Times New Roman"/>
          <w:sz w:val="24"/>
          <w:szCs w:val="24"/>
        </w:rPr>
        <w:t xml:space="preserve">здійснюватися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гарантійне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обслуговування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обладнання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території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України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Під</w:t>
      </w:r>
      <w:r>
        <w:rPr>
          <w:rFonts w:ascii="Times New Roman" w:hAnsi="Times New Roman" w:cs="Times New Roman"/>
          <w:sz w:val="24"/>
          <w:szCs w:val="24"/>
        </w:rPr>
        <w:t xml:space="preserve"> час </w:t>
      </w:r>
      <w:r>
        <w:rPr>
          <w:rFonts w:ascii="Times New Roman" w:hAnsi="Times New Roman" w:cs="Times New Roman"/>
          <w:sz w:val="24"/>
          <w:szCs w:val="24"/>
        </w:rPr>
        <w:t xml:space="preserve">постачання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обладнання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надає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гарантійні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талони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строком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гарантії</w:t>
      </w:r>
      <w:r>
        <w:rPr>
          <w:rFonts w:ascii="Times New Roman" w:hAnsi="Times New Roman" w:cs="Times New Roman"/>
          <w:sz w:val="24"/>
          <w:szCs w:val="24"/>
        </w:rPr>
        <w:t xml:space="preserve">, при </w:t>
      </w:r>
      <w:r>
        <w:rPr>
          <w:rFonts w:ascii="Times New Roman" w:hAnsi="Times New Roman" w:cs="Times New Roman"/>
          <w:sz w:val="24"/>
          <w:szCs w:val="24"/>
        </w:rPr>
        <w:t xml:space="preserve">поставці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обладнання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надає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гарантійні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талони</w:t>
      </w:r>
      <w:r>
        <w:rPr>
          <w:rFonts w:ascii="Times New Roman" w:hAnsi="Times New Roman" w:cs="Times New Roman"/>
          <w:sz w:val="24"/>
          <w:szCs w:val="24"/>
        </w:rPr>
        <w:t xml:space="preserve"> з </w:t>
      </w:r>
      <w:r>
        <w:rPr>
          <w:rFonts w:ascii="Times New Roman" w:hAnsi="Times New Roman" w:cs="Times New Roman"/>
          <w:sz w:val="24"/>
          <w:szCs w:val="24"/>
        </w:rPr>
        <w:t xml:space="preserve">вказанням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назви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обладнання</w:t>
      </w:r>
      <w:r>
        <w:rPr>
          <w:rFonts w:ascii="Times New Roman" w:hAnsi="Times New Roman" w:cs="Times New Roman"/>
          <w:sz w:val="24"/>
          <w:szCs w:val="24"/>
        </w:rPr>
        <w:t xml:space="preserve"> та </w:t>
      </w:r>
      <w:r>
        <w:rPr>
          <w:rFonts w:ascii="Times New Roman" w:hAnsi="Times New Roman" w:cs="Times New Roman"/>
          <w:sz w:val="24"/>
          <w:szCs w:val="24"/>
        </w:rPr>
        <w:t xml:space="preserve">їх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серійні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номери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/>
    </w:p>
    <w:p>
      <w:pPr>
        <w:pStyle w:val="714"/>
        <w:numPr>
          <w:ilvl w:val="0"/>
          <w:numId w:val="32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надає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порівняльну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таблицю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відповідності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запропонованого</w:t>
      </w:r>
      <w:r>
        <w:rPr>
          <w:rFonts w:ascii="Times New Roman" w:hAnsi="Times New Roman" w:cs="Times New Roman"/>
          <w:sz w:val="24"/>
          <w:szCs w:val="24"/>
        </w:rPr>
        <w:t xml:space="preserve"> товару </w:t>
      </w:r>
      <w:r>
        <w:rPr>
          <w:rFonts w:ascii="Times New Roman" w:hAnsi="Times New Roman" w:cs="Times New Roman"/>
          <w:sz w:val="24"/>
          <w:szCs w:val="24"/>
        </w:rPr>
        <w:t xml:space="preserve">технічним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вимогам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Замовника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/>
    </w:p>
    <w:p>
      <w:pPr>
        <w:pStyle w:val="714"/>
        <w:numPr>
          <w:ilvl w:val="0"/>
          <w:numId w:val="32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Зазначаємо, що закупівля відбувається за кодом КЕКВ 2210. Просимо потенційних Учасників врахувати дану вимогу при розрахунку вартості товару та ціни за одиницю товару. У разі порушення даної вимоги, пропозицію Учасника буде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відхилено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 підстав наведених у підпункті 2 пункту 44 Особливостей.</w:t>
      </w:r>
      <w:r/>
    </w:p>
    <w:p>
      <w:pPr>
        <w:pStyle w:val="714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 xml:space="preserve">разі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надання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авторизаційного</w:t>
      </w:r>
      <w:r>
        <w:rPr>
          <w:rFonts w:ascii="Times New Roman" w:hAnsi="Times New Roman" w:cs="Times New Roman"/>
          <w:sz w:val="24"/>
          <w:szCs w:val="24"/>
        </w:rPr>
        <w:t xml:space="preserve"> листа (</w:t>
      </w:r>
      <w:r>
        <w:rPr>
          <w:rFonts w:ascii="Times New Roman" w:hAnsi="Times New Roman" w:cs="Times New Roman"/>
          <w:sz w:val="24"/>
          <w:szCs w:val="24"/>
        </w:rPr>
        <w:t xml:space="preserve">або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інших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документів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від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виробника</w:t>
      </w:r>
      <w:r>
        <w:rPr>
          <w:rFonts w:ascii="Times New Roman" w:hAnsi="Times New Roman" w:cs="Times New Roman"/>
          <w:sz w:val="24"/>
          <w:szCs w:val="24"/>
        </w:rPr>
        <w:t xml:space="preserve"> (-</w:t>
      </w:r>
      <w:r>
        <w:rPr>
          <w:rFonts w:ascii="Times New Roman" w:hAnsi="Times New Roman" w:cs="Times New Roman"/>
          <w:sz w:val="24"/>
          <w:szCs w:val="24"/>
        </w:rPr>
        <w:t xml:space="preserve">ів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іноземною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мовою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цей</w:t>
      </w:r>
      <w:r>
        <w:rPr>
          <w:rFonts w:ascii="Times New Roman" w:hAnsi="Times New Roman" w:cs="Times New Roman"/>
          <w:sz w:val="24"/>
          <w:szCs w:val="24"/>
        </w:rPr>
        <w:t xml:space="preserve"> лист повинен </w:t>
      </w:r>
      <w:r>
        <w:rPr>
          <w:rFonts w:ascii="Times New Roman" w:hAnsi="Times New Roman" w:cs="Times New Roman"/>
          <w:sz w:val="24"/>
          <w:szCs w:val="24"/>
        </w:rPr>
        <w:t xml:space="preserve">супроводжуватись</w:t>
      </w:r>
      <w:r>
        <w:rPr>
          <w:rFonts w:ascii="Times New Roman" w:hAnsi="Times New Roman" w:cs="Times New Roman"/>
          <w:sz w:val="24"/>
          <w:szCs w:val="24"/>
        </w:rPr>
        <w:t xml:space="preserve"> перекладом на </w:t>
      </w:r>
      <w:r>
        <w:rPr>
          <w:rFonts w:ascii="Times New Roman" w:hAnsi="Times New Roman" w:cs="Times New Roman"/>
          <w:sz w:val="24"/>
          <w:szCs w:val="24"/>
        </w:rPr>
        <w:t xml:space="preserve">українську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мову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/>
    </w:p>
    <w:p>
      <w:pPr>
        <w:pStyle w:val="714"/>
        <w:ind w:left="0"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Авторизаційні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повинні</w:t>
      </w:r>
      <w:r>
        <w:rPr>
          <w:rFonts w:ascii="Times New Roman" w:hAnsi="Times New Roman" w:cs="Times New Roman"/>
          <w:sz w:val="24"/>
          <w:szCs w:val="24"/>
        </w:rPr>
        <w:t xml:space="preserve"> бути </w:t>
      </w:r>
      <w:r>
        <w:rPr>
          <w:rFonts w:ascii="Times New Roman" w:hAnsi="Times New Roman" w:cs="Times New Roman"/>
          <w:sz w:val="24"/>
          <w:szCs w:val="24"/>
        </w:rPr>
        <w:t xml:space="preserve">адресовані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Замовнику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із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обов’язковим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зазначенням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найменування</w:t>
      </w:r>
      <w:r>
        <w:rPr>
          <w:rFonts w:ascii="Times New Roman" w:hAnsi="Times New Roman" w:cs="Times New Roman"/>
          <w:sz w:val="24"/>
          <w:szCs w:val="24"/>
        </w:rPr>
        <w:t xml:space="preserve"> та номеру </w:t>
      </w:r>
      <w:r>
        <w:rPr>
          <w:rFonts w:ascii="Times New Roman" w:hAnsi="Times New Roman" w:cs="Times New Roman"/>
          <w:sz w:val="24"/>
          <w:szCs w:val="24"/>
        </w:rPr>
        <w:t xml:space="preserve">закупівлі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Замовник має право звернут</w:t>
      </w:r>
      <w:r>
        <w:rPr>
          <w:rFonts w:ascii="Times New Roman" w:hAnsi="Times New Roman" w:cs="Times New Roman"/>
          <w:sz w:val="24"/>
          <w:szCs w:val="24"/>
        </w:rPr>
        <w:t xml:space="preserve">ися за підтвердженням інформації, наданої учасником, до органів державної влади, підприємств, установ, організацій відповідно до їх компетенції. У разі отримання достовірної інформації про його невідповідність вимогам кваліфікаційних критеріїв, наявність п</w:t>
      </w:r>
      <w:r>
        <w:rPr>
          <w:rFonts w:ascii="Times New Roman" w:hAnsi="Times New Roman" w:cs="Times New Roman"/>
          <w:sz w:val="24"/>
          <w:szCs w:val="24"/>
        </w:rPr>
        <w:t xml:space="preserve">ідстав, зазначених у частині першій статті 17 цього Закону, або факту зазначення у тендерній пропозиції будь-якої недостовірної інформації, що є суттєвою при визначенні результатів процедури закупівлі, замовник відхиляє тендерну пропозицію такого учасника.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</w:t>
      </w:r>
      <w:r>
        <w:rPr>
          <w:rFonts w:ascii="Times New Roman" w:hAnsi="Times New Roman" w:cs="Times New Roman"/>
          <w:i/>
          <w:sz w:val="24"/>
          <w:szCs w:val="24"/>
        </w:rPr>
        <w:t xml:space="preserve">ги, умовні позначення та термінологію, пов’язані з товарами, роботами чи послугами, що закуповуються, передбачені існуючими міжнародними, європейськими стандартами, іншими спільними технічними європейськими нормами, іншими технічними еталонними системами, </w:t>
      </w:r>
      <w:r>
        <w:rPr>
          <w:rFonts w:ascii="Times New Roman" w:hAnsi="Times New Roman" w:cs="Times New Roman"/>
          <w:i/>
          <w:sz w:val="24"/>
          <w:szCs w:val="24"/>
        </w:rPr>
        <w:t xml:space="preserve">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after="0" w:line="240" w:lineRule="auto"/>
        <w:tabs>
          <w:tab w:val="left" w:pos="540" w:leader="none"/>
          <w:tab w:val="left" w:pos="684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373 935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триста сімдесят три тисячі дев’ятсот тридцять п’ять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0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51" w:hanging="375"/>
        <w:tabs>
          <w:tab w:val="num" w:pos="566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Calibri" w:hAnsi="Calibri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7"/>
  </w:num>
  <w:num w:numId="2">
    <w:abstractNumId w:val="16"/>
  </w:num>
  <w:num w:numId="3">
    <w:abstractNumId w:val="7"/>
  </w:num>
  <w:num w:numId="4">
    <w:abstractNumId w:val="22"/>
  </w:num>
  <w:num w:numId="5">
    <w:abstractNumId w:val="6"/>
  </w:num>
  <w:num w:numId="6">
    <w:abstractNumId w:val="28"/>
  </w:num>
  <w:num w:numId="7">
    <w:abstractNumId w:val="10"/>
  </w:num>
  <w:num w:numId="8">
    <w:abstractNumId w:val="30"/>
  </w:num>
  <w:num w:numId="9">
    <w:abstractNumId w:val="1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8"/>
  </w:num>
  <w:num w:numId="13">
    <w:abstractNumId w:val="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9"/>
  </w:num>
  <w:num w:numId="17">
    <w:abstractNumId w:val="0"/>
  </w:num>
  <w:num w:numId="18">
    <w:abstractNumId w:val="31"/>
  </w:num>
  <w:num w:numId="19">
    <w:abstractNumId w:val="23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24"/>
  </w:num>
  <w:num w:numId="25">
    <w:abstractNumId w:val="17"/>
  </w:num>
  <w:num w:numId="26">
    <w:abstractNumId w:val="20"/>
  </w:num>
  <w:num w:numId="27">
    <w:abstractNumId w:val="25"/>
  </w:num>
  <w:num w:numId="28">
    <w:abstractNumId w:val="18"/>
  </w:num>
  <w:num w:numId="29">
    <w:abstractNumId w:val="26"/>
  </w:num>
  <w:num w:numId="30">
    <w:abstractNumId w:val="15"/>
  </w:num>
  <w:num w:numId="31">
    <w:abstractNumId w:val="2"/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09"/>
    <w:next w:val="709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711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11"/>
    <w:link w:val="710"/>
    <w:uiPriority w:val="9"/>
    <w:rPr>
      <w:rFonts w:ascii="Arial" w:hAnsi="Arial" w:eastAsia="Arial" w:cs="Arial"/>
      <w:sz w:val="34"/>
    </w:rPr>
  </w:style>
  <w:style w:type="paragraph" w:styleId="16">
    <w:name w:val="Heading 3"/>
    <w:basedOn w:val="709"/>
    <w:next w:val="709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711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709"/>
    <w:next w:val="709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711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09"/>
    <w:next w:val="709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11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09"/>
    <w:next w:val="709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11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09"/>
    <w:next w:val="709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11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09"/>
    <w:next w:val="709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11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09"/>
    <w:next w:val="709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11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709"/>
    <w:next w:val="709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11"/>
    <w:link w:val="33"/>
    <w:uiPriority w:val="10"/>
    <w:rPr>
      <w:sz w:val="48"/>
      <w:szCs w:val="48"/>
    </w:rPr>
  </w:style>
  <w:style w:type="paragraph" w:styleId="35">
    <w:name w:val="Subtitle"/>
    <w:basedOn w:val="709"/>
    <w:next w:val="709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11"/>
    <w:link w:val="35"/>
    <w:uiPriority w:val="11"/>
    <w:rPr>
      <w:sz w:val="24"/>
      <w:szCs w:val="24"/>
    </w:rPr>
  </w:style>
  <w:style w:type="paragraph" w:styleId="37">
    <w:name w:val="Quote"/>
    <w:basedOn w:val="709"/>
    <w:next w:val="709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09"/>
    <w:next w:val="709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709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711"/>
    <w:link w:val="41"/>
    <w:uiPriority w:val="99"/>
  </w:style>
  <w:style w:type="character" w:styleId="44">
    <w:name w:val="Footer Char"/>
    <w:basedOn w:val="711"/>
    <w:link w:val="720"/>
    <w:uiPriority w:val="99"/>
  </w:style>
  <w:style w:type="paragraph" w:styleId="45">
    <w:name w:val="Caption"/>
    <w:basedOn w:val="709"/>
    <w:next w:val="7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20"/>
    <w:uiPriority w:val="99"/>
  </w:style>
  <w:style w:type="table" w:styleId="48">
    <w:name w:val="Table Grid Light"/>
    <w:basedOn w:val="7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1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09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11"/>
    <w:uiPriority w:val="99"/>
    <w:unhideWhenUsed/>
    <w:rPr>
      <w:vertAlign w:val="superscript"/>
    </w:rPr>
  </w:style>
  <w:style w:type="paragraph" w:styleId="177">
    <w:name w:val="endnote text"/>
    <w:basedOn w:val="709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11"/>
    <w:uiPriority w:val="99"/>
    <w:semiHidden/>
    <w:unhideWhenUsed/>
    <w:rPr>
      <w:vertAlign w:val="superscript"/>
    </w:rPr>
  </w:style>
  <w:style w:type="paragraph" w:styleId="180">
    <w:name w:val="toc 1"/>
    <w:basedOn w:val="709"/>
    <w:next w:val="709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09"/>
    <w:next w:val="709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09"/>
    <w:next w:val="709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09"/>
    <w:next w:val="709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09"/>
    <w:next w:val="709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09"/>
    <w:next w:val="709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09"/>
    <w:next w:val="709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09"/>
    <w:next w:val="709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09"/>
    <w:next w:val="709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09"/>
    <w:next w:val="709"/>
    <w:uiPriority w:val="99"/>
    <w:unhideWhenUsed/>
    <w:pPr>
      <w:spacing w:after="0" w:afterAutospacing="0"/>
    </w:pPr>
  </w:style>
  <w:style w:type="paragraph" w:styleId="709" w:default="1">
    <w:name w:val="Normal"/>
    <w:qFormat/>
    <w:rPr>
      <w:lang w:val="uk-UA"/>
    </w:rPr>
  </w:style>
  <w:style w:type="paragraph" w:styleId="710">
    <w:name w:val="Heading 2"/>
    <w:basedOn w:val="709"/>
    <w:link w:val="729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711" w:default="1">
    <w:name w:val="Default Paragraph Font"/>
    <w:uiPriority w:val="1"/>
    <w:semiHidden/>
    <w:unhideWhenUsed/>
  </w:style>
  <w:style w:type="table" w:styleId="71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3" w:default="1">
    <w:name w:val="No List"/>
    <w:uiPriority w:val="99"/>
    <w:semiHidden/>
    <w:unhideWhenUsed/>
  </w:style>
  <w:style w:type="paragraph" w:styleId="714">
    <w:name w:val="List Paragraph"/>
    <w:basedOn w:val="709"/>
    <w:link w:val="715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15" w:customStyle="1">
    <w:name w:val="Абзац списку Знак"/>
    <w:link w:val="714"/>
    <w:uiPriority w:val="34"/>
    <w:qFormat/>
    <w:rPr>
      <w:rFonts w:ascii="Calibri" w:hAnsi="Calibri" w:eastAsia="Calibri" w:cs="Calibri"/>
      <w:lang w:eastAsia="zh-CN"/>
    </w:rPr>
  </w:style>
  <w:style w:type="table" w:styleId="716">
    <w:name w:val="Table Grid"/>
    <w:basedOn w:val="71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7" w:customStyle="1">
    <w:name w:val="Сетка таблицы2"/>
    <w:basedOn w:val="712"/>
    <w:next w:val="716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8">
    <w:name w:val="Normal (Web)"/>
    <w:basedOn w:val="709"/>
    <w:link w:val="725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719" w:customStyle="1">
    <w:name w:val="Сетка таблицы1"/>
    <w:basedOn w:val="712"/>
    <w:next w:val="716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0">
    <w:name w:val="Footer"/>
    <w:basedOn w:val="709"/>
    <w:link w:val="721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21" w:customStyle="1">
    <w:name w:val="Нижній колонтитул Знак"/>
    <w:basedOn w:val="711"/>
    <w:link w:val="720"/>
    <w:uiPriority w:val="99"/>
    <w:rPr>
      <w:rFonts w:ascii="Calibri" w:hAnsi="Calibri" w:eastAsia="Calibri" w:cs="Calibri"/>
      <w:lang w:eastAsia="zh-CN"/>
    </w:rPr>
  </w:style>
  <w:style w:type="paragraph" w:styleId="722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23">
    <w:name w:val="Hyperlink"/>
    <w:basedOn w:val="711"/>
    <w:uiPriority w:val="99"/>
    <w:unhideWhenUsed/>
    <w:rPr>
      <w:color w:val="0563c1" w:themeColor="hyperlink"/>
      <w:u w:val="single"/>
    </w:rPr>
  </w:style>
  <w:style w:type="character" w:styleId="724" w:customStyle="1">
    <w:name w:val="xfm_93972720"/>
    <w:basedOn w:val="711"/>
  </w:style>
  <w:style w:type="character" w:styleId="725" w:customStyle="1">
    <w:name w:val="Звичайний (веб) Знак"/>
    <w:link w:val="718"/>
    <w:uiPriority w:val="99"/>
    <w:qFormat/>
    <w:rPr>
      <w:rFonts w:ascii="Times New Roman" w:hAnsi="Times New Roman" w:cs="Times New Roman"/>
      <w:sz w:val="24"/>
      <w:szCs w:val="24"/>
      <w:lang w:val="uk-UA"/>
    </w:rPr>
  </w:style>
  <w:style w:type="paragraph" w:styleId="726">
    <w:name w:val="Body Text 2"/>
    <w:basedOn w:val="709"/>
    <w:link w:val="727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27" w:customStyle="1">
    <w:name w:val="Основний текст 2 Знак"/>
    <w:basedOn w:val="711"/>
    <w:link w:val="726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28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29" w:customStyle="1">
    <w:name w:val="Заголовок 2 Знак"/>
    <w:basedOn w:val="711"/>
    <w:link w:val="710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30">
    <w:name w:val="No Spacing"/>
    <w:link w:val="731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31" w:customStyle="1">
    <w:name w:val="Без інтервалів Знак"/>
    <w:basedOn w:val="711"/>
    <w:link w:val="730"/>
    <w:uiPriority w:val="1"/>
    <w:rPr>
      <w:rFonts w:ascii="Calibri" w:hAnsi="Calibri" w:eastAsia="Calibri" w:cs="Times New Roman"/>
      <w:lang w:val="uk-UA"/>
    </w:rPr>
  </w:style>
  <w:style w:type="character" w:styleId="732" w:customStyle="1">
    <w:name w:val="Другое_"/>
    <w:basedOn w:val="711"/>
    <w:link w:val="733"/>
    <w:rPr>
      <w:rFonts w:ascii="Calibri" w:hAnsi="Calibri" w:eastAsia="Calibri" w:cs="Calibri"/>
      <w:sz w:val="20"/>
      <w:szCs w:val="20"/>
    </w:rPr>
  </w:style>
  <w:style w:type="paragraph" w:styleId="733" w:customStyle="1">
    <w:name w:val="Другое"/>
    <w:basedOn w:val="709"/>
    <w:link w:val="732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34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35" w:customStyle="1">
    <w:name w:val="Основной текст (2)_"/>
    <w:basedOn w:val="711"/>
    <w:link w:val="736"/>
    <w:rPr>
      <w:rFonts w:eastAsia="Times New Roman" w:cs="Times New Roman"/>
      <w:shd w:val="clear" w:color="auto" w:fill="ffffff"/>
    </w:rPr>
  </w:style>
  <w:style w:type="paragraph" w:styleId="736" w:customStyle="1">
    <w:name w:val="Основной текст (2)"/>
    <w:basedOn w:val="709"/>
    <w:link w:val="735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37" w:customStyle="1">
    <w:name w:val="Текст у виносці Знак"/>
    <w:basedOn w:val="711"/>
    <w:link w:val="738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38">
    <w:name w:val="Balloon Text"/>
    <w:basedOn w:val="709"/>
    <w:link w:val="737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39" w:customStyle="1">
    <w:name w:val="Текст у виносці Знак1"/>
    <w:basedOn w:val="711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40" w:customStyle="1">
    <w:name w:val="T23"/>
    <w:rPr>
      <w:rFonts w:hint="default" w:ascii="Times New Roman" w:hAnsi="Times New Roman" w:eastAsia="Times New Roman1" w:cs="Times New Roman"/>
    </w:rPr>
  </w:style>
  <w:style w:type="paragraph" w:styleId="741" w:customStyle="1">
    <w:name w:val="Абзац списку1"/>
    <w:basedOn w:val="709"/>
    <w:uiPriority w:val="99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  <w:style w:type="character" w:styleId="742" w:customStyle="1">
    <w:name w:val="markedcontent"/>
    <w:basedOn w:val="711"/>
  </w:style>
  <w:style w:type="paragraph" w:styleId="743">
    <w:name w:val="annotation text"/>
    <w:basedOn w:val="709"/>
    <w:link w:val="744"/>
    <w:uiPriority w:val="99"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44" w:customStyle="1">
    <w:name w:val="Текст примітки Знак"/>
    <w:basedOn w:val="711"/>
    <w:link w:val="743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146</cp:revision>
  <dcterms:created xsi:type="dcterms:W3CDTF">2022-11-01T12:47:00Z</dcterms:created>
  <dcterms:modified xsi:type="dcterms:W3CDTF">2023-12-06T15:07:10Z</dcterms:modified>
</cp:coreProperties>
</file>