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B9EDF36" w14:textId="2F52F1FD" w:rsidR="00CD259C" w:rsidRPr="00CD259C" w:rsidRDefault="00245020" w:rsidP="00CD259C">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54D0D" w:rsidRPr="00954D0D">
        <w:rPr>
          <w:b w:val="0"/>
          <w:bCs w:val="0"/>
          <w:sz w:val="24"/>
          <w:szCs w:val="24"/>
        </w:rPr>
        <w:t>Закупівля ліцензій системи захисту доступу користувачів код CPV за ЄЗС ДК 021:2015: 48730000-4 — Пакети програмного забезпечення для забезпечення безпеки</w:t>
      </w:r>
      <w:r w:rsidR="00CD259C" w:rsidRPr="00954D0D">
        <w:rPr>
          <w:b w:val="0"/>
          <w:bCs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353443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D259C">
        <w:rPr>
          <w:rFonts w:ascii="Times New Roman" w:hAnsi="Times New Roman" w:cs="Times New Roman"/>
          <w:sz w:val="24"/>
          <w:szCs w:val="24"/>
        </w:rPr>
        <w:t>1</w:t>
      </w:r>
      <w:r w:rsidR="00246016">
        <w:rPr>
          <w:rFonts w:ascii="Times New Roman" w:hAnsi="Times New Roman" w:cs="Times New Roman"/>
          <w:sz w:val="24"/>
          <w:szCs w:val="24"/>
        </w:rPr>
        <w:t>1</w:t>
      </w:r>
      <w:r w:rsidR="001944C8">
        <w:rPr>
          <w:rFonts w:ascii="Times New Roman" w:hAnsi="Times New Roman" w:cs="Times New Roman"/>
          <w:sz w:val="24"/>
          <w:szCs w:val="24"/>
        </w:rPr>
        <w:t>-</w:t>
      </w:r>
      <w:r w:rsidR="00246016">
        <w:rPr>
          <w:rFonts w:ascii="Times New Roman" w:hAnsi="Times New Roman" w:cs="Times New Roman"/>
          <w:sz w:val="24"/>
          <w:szCs w:val="24"/>
        </w:rPr>
        <w:t>14</w:t>
      </w:r>
      <w:r w:rsidR="00F60A0F" w:rsidRPr="00F90C90">
        <w:rPr>
          <w:rFonts w:ascii="Times New Roman" w:hAnsi="Times New Roman" w:cs="Times New Roman"/>
          <w:sz w:val="24"/>
          <w:szCs w:val="24"/>
        </w:rPr>
        <w:t>-</w:t>
      </w:r>
      <w:r w:rsidR="00246016">
        <w:rPr>
          <w:rFonts w:ascii="Times New Roman" w:hAnsi="Times New Roman" w:cs="Times New Roman"/>
          <w:sz w:val="24"/>
          <w:szCs w:val="24"/>
        </w:rPr>
        <w:t>014132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D7384CC" w:rsidR="0084770C" w:rsidRPr="00954D0D"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954D0D">
        <w:rPr>
          <w:rFonts w:ascii="Times New Roman" w:eastAsia="Times New Roman" w:hAnsi="Times New Roman" w:cs="Times New Roman"/>
          <w:bCs/>
          <w:sz w:val="24"/>
          <w:lang w:eastAsia="ru-RU"/>
        </w:rPr>
        <w:t xml:space="preserve">:  </w:t>
      </w:r>
      <w:r w:rsidR="00954D0D" w:rsidRPr="00954D0D">
        <w:rPr>
          <w:rFonts w:ascii="Times New Roman" w:hAnsi="Times New Roman" w:cs="Times New Roman"/>
          <w:bCs/>
          <w:sz w:val="24"/>
          <w:szCs w:val="24"/>
        </w:rPr>
        <w:t>Закупівля ліцензій системи захисту доступу користувачів код CPV за ЄЗС ДК 021:2015: 48730000-4 — Пакети програмного забезпечення для забезпечення безпеки.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162F42DB" w14:textId="77777777" w:rsidR="00954D0D" w:rsidRPr="00954D0D" w:rsidRDefault="00954D0D" w:rsidP="00954D0D">
      <w:pPr>
        <w:spacing w:after="0" w:line="240" w:lineRule="auto"/>
        <w:jc w:val="center"/>
        <w:rPr>
          <w:rFonts w:ascii="Times New Roman" w:hAnsi="Times New Roman" w:cs="Times New Roman"/>
          <w:b/>
          <w:bCs/>
          <w:color w:val="000000" w:themeColor="text1"/>
          <w:sz w:val="24"/>
          <w:szCs w:val="24"/>
        </w:rPr>
      </w:pPr>
      <w:r w:rsidRPr="00954D0D">
        <w:rPr>
          <w:rFonts w:ascii="Times New Roman" w:hAnsi="Times New Roman" w:cs="Times New Roman"/>
          <w:b/>
          <w:bCs/>
          <w:color w:val="000000" w:themeColor="text1"/>
          <w:sz w:val="24"/>
          <w:szCs w:val="24"/>
        </w:rPr>
        <w:t>Специфікація товару</w:t>
      </w:r>
    </w:p>
    <w:p w14:paraId="2E248DF2" w14:textId="77777777" w:rsidR="00954D0D" w:rsidRPr="00954D0D" w:rsidRDefault="00954D0D" w:rsidP="00954D0D">
      <w:pPr>
        <w:tabs>
          <w:tab w:val="left" w:pos="3926"/>
        </w:tabs>
        <w:spacing w:after="0" w:line="240" w:lineRule="auto"/>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ab/>
      </w:r>
    </w:p>
    <w:tbl>
      <w:tblPr>
        <w:tblStyle w:val="a5"/>
        <w:tblW w:w="9634" w:type="dxa"/>
        <w:tblLook w:val="04A0" w:firstRow="1" w:lastRow="0" w:firstColumn="1" w:lastColumn="0" w:noHBand="0" w:noVBand="1"/>
      </w:tblPr>
      <w:tblGrid>
        <w:gridCol w:w="562"/>
        <w:gridCol w:w="5670"/>
        <w:gridCol w:w="1701"/>
        <w:gridCol w:w="1701"/>
      </w:tblGrid>
      <w:tr w:rsidR="00954D0D" w:rsidRPr="00954D0D" w14:paraId="4B0C2EDE" w14:textId="77777777" w:rsidTr="00647240">
        <w:tc>
          <w:tcPr>
            <w:tcW w:w="562" w:type="dxa"/>
            <w:vAlign w:val="center"/>
          </w:tcPr>
          <w:p w14:paraId="4B665435" w14:textId="77777777" w:rsidR="00954D0D" w:rsidRPr="00954D0D" w:rsidRDefault="00954D0D" w:rsidP="00954D0D">
            <w:pPr>
              <w:pStyle w:val="a6"/>
              <w:jc w:val="center"/>
              <w:rPr>
                <w:b/>
                <w:bCs/>
                <w:color w:val="000000" w:themeColor="text1"/>
              </w:rPr>
            </w:pPr>
            <w:r w:rsidRPr="00954D0D">
              <w:rPr>
                <w:b/>
                <w:bCs/>
                <w:color w:val="000000" w:themeColor="text1"/>
              </w:rPr>
              <w:t>№ з/п</w:t>
            </w:r>
          </w:p>
        </w:tc>
        <w:tc>
          <w:tcPr>
            <w:tcW w:w="5670" w:type="dxa"/>
            <w:vAlign w:val="center"/>
          </w:tcPr>
          <w:p w14:paraId="2FB9402F" w14:textId="77777777" w:rsidR="00954D0D" w:rsidRPr="00954D0D" w:rsidRDefault="00954D0D" w:rsidP="00954D0D">
            <w:pPr>
              <w:pStyle w:val="a6"/>
              <w:jc w:val="center"/>
              <w:rPr>
                <w:b/>
                <w:bCs/>
                <w:color w:val="000000" w:themeColor="text1"/>
              </w:rPr>
            </w:pPr>
            <w:r w:rsidRPr="00954D0D">
              <w:rPr>
                <w:b/>
                <w:bCs/>
                <w:color w:val="000000" w:themeColor="text1"/>
              </w:rPr>
              <w:t>Назва товару</w:t>
            </w:r>
          </w:p>
        </w:tc>
        <w:tc>
          <w:tcPr>
            <w:tcW w:w="1701" w:type="dxa"/>
            <w:vAlign w:val="center"/>
          </w:tcPr>
          <w:p w14:paraId="70E01720" w14:textId="77777777" w:rsidR="00954D0D" w:rsidRPr="00954D0D" w:rsidRDefault="00954D0D" w:rsidP="00954D0D">
            <w:pPr>
              <w:pStyle w:val="a6"/>
              <w:jc w:val="center"/>
              <w:rPr>
                <w:b/>
                <w:bCs/>
                <w:color w:val="000000" w:themeColor="text1"/>
              </w:rPr>
            </w:pPr>
            <w:r w:rsidRPr="00954D0D">
              <w:rPr>
                <w:b/>
                <w:bCs/>
                <w:color w:val="000000" w:themeColor="text1"/>
              </w:rPr>
              <w:t>Одиниця виміру</w:t>
            </w:r>
          </w:p>
        </w:tc>
        <w:tc>
          <w:tcPr>
            <w:tcW w:w="1701" w:type="dxa"/>
            <w:vAlign w:val="center"/>
          </w:tcPr>
          <w:p w14:paraId="5FE40E79" w14:textId="77777777" w:rsidR="00954D0D" w:rsidRPr="00954D0D" w:rsidRDefault="00954D0D" w:rsidP="00954D0D">
            <w:pPr>
              <w:pStyle w:val="a6"/>
              <w:jc w:val="center"/>
              <w:rPr>
                <w:b/>
                <w:bCs/>
                <w:color w:val="000000" w:themeColor="text1"/>
              </w:rPr>
            </w:pPr>
            <w:r w:rsidRPr="00954D0D">
              <w:rPr>
                <w:b/>
                <w:bCs/>
                <w:color w:val="000000" w:themeColor="text1"/>
              </w:rPr>
              <w:t>Кількість</w:t>
            </w:r>
          </w:p>
        </w:tc>
      </w:tr>
      <w:tr w:rsidR="00954D0D" w:rsidRPr="00954D0D" w14:paraId="543FA6A3" w14:textId="77777777" w:rsidTr="00647240">
        <w:tc>
          <w:tcPr>
            <w:tcW w:w="562" w:type="dxa"/>
            <w:vAlign w:val="center"/>
          </w:tcPr>
          <w:p w14:paraId="2D6EDE9B" w14:textId="77777777" w:rsidR="00954D0D" w:rsidRPr="00954D0D" w:rsidRDefault="00954D0D" w:rsidP="00954D0D">
            <w:pPr>
              <w:pStyle w:val="a6"/>
              <w:jc w:val="center"/>
              <w:rPr>
                <w:color w:val="000000" w:themeColor="text1"/>
              </w:rPr>
            </w:pPr>
            <w:r w:rsidRPr="00954D0D">
              <w:rPr>
                <w:color w:val="000000" w:themeColor="text1"/>
              </w:rPr>
              <w:t>1</w:t>
            </w:r>
          </w:p>
        </w:tc>
        <w:tc>
          <w:tcPr>
            <w:tcW w:w="5670" w:type="dxa"/>
            <w:vAlign w:val="center"/>
          </w:tcPr>
          <w:p w14:paraId="115E9FA0" w14:textId="77777777" w:rsidR="00954D0D" w:rsidRPr="00954D0D" w:rsidRDefault="00954D0D" w:rsidP="00954D0D">
            <w:pPr>
              <w:pStyle w:val="ae"/>
              <w:rPr>
                <w:rFonts w:ascii="Times New Roman" w:hAnsi="Times New Roman" w:cs="Times New Roman"/>
                <w:color w:val="000000" w:themeColor="text1"/>
                <w:sz w:val="24"/>
                <w:szCs w:val="24"/>
                <w:lang w:val="en-US"/>
              </w:rPr>
            </w:pPr>
            <w:r w:rsidRPr="00954D0D">
              <w:rPr>
                <w:rFonts w:ascii="Times New Roman" w:hAnsi="Times New Roman" w:cs="Times New Roman"/>
                <w:color w:val="000000" w:themeColor="text1"/>
                <w:sz w:val="24"/>
                <w:szCs w:val="24"/>
              </w:rPr>
              <w:t>Система захисту доступу користувачів за рахунок багатофакторної аутентифікації</w:t>
            </w:r>
          </w:p>
        </w:tc>
        <w:tc>
          <w:tcPr>
            <w:tcW w:w="1701" w:type="dxa"/>
            <w:vAlign w:val="center"/>
          </w:tcPr>
          <w:p w14:paraId="761E8341" w14:textId="1E77B77C" w:rsidR="00954D0D" w:rsidRPr="00954D0D" w:rsidRDefault="00246016" w:rsidP="00954D0D">
            <w:pPr>
              <w:pStyle w:val="a6"/>
              <w:jc w:val="center"/>
              <w:rPr>
                <w:color w:val="000000" w:themeColor="text1"/>
              </w:rPr>
            </w:pPr>
            <w:r>
              <w:rPr>
                <w:color w:val="000000" w:themeColor="text1"/>
              </w:rPr>
              <w:t>комп</w:t>
            </w:r>
            <w:r w:rsidR="00954D0D" w:rsidRPr="00954D0D">
              <w:rPr>
                <w:color w:val="000000" w:themeColor="text1"/>
              </w:rPr>
              <w:t>.</w:t>
            </w:r>
          </w:p>
        </w:tc>
        <w:tc>
          <w:tcPr>
            <w:tcW w:w="1701" w:type="dxa"/>
            <w:vAlign w:val="center"/>
          </w:tcPr>
          <w:p w14:paraId="0B9E556B" w14:textId="6FD38F7D" w:rsidR="00954D0D" w:rsidRPr="00954D0D" w:rsidRDefault="00246016" w:rsidP="00954D0D">
            <w:pPr>
              <w:pStyle w:val="a6"/>
              <w:jc w:val="center"/>
              <w:rPr>
                <w:color w:val="000000" w:themeColor="text1"/>
              </w:rPr>
            </w:pPr>
            <w:r>
              <w:rPr>
                <w:color w:val="000000" w:themeColor="text1"/>
              </w:rPr>
              <w:t>1</w:t>
            </w:r>
          </w:p>
        </w:tc>
      </w:tr>
    </w:tbl>
    <w:p w14:paraId="28E8A0F8" w14:textId="77777777" w:rsidR="00954D0D" w:rsidRPr="00954D0D" w:rsidRDefault="00954D0D" w:rsidP="00954D0D">
      <w:pPr>
        <w:tabs>
          <w:tab w:val="left" w:pos="3926"/>
        </w:tabs>
        <w:spacing w:after="0" w:line="240" w:lineRule="auto"/>
        <w:rPr>
          <w:rFonts w:ascii="Times New Roman" w:hAnsi="Times New Roman" w:cs="Times New Roman"/>
          <w:i/>
          <w:iCs/>
          <w:color w:val="000000" w:themeColor="text1"/>
          <w:sz w:val="24"/>
          <w:szCs w:val="24"/>
          <w:lang w:eastAsia="ru-RU"/>
        </w:rPr>
      </w:pPr>
    </w:p>
    <w:p w14:paraId="7F741731" w14:textId="77777777" w:rsidR="00954D0D" w:rsidRPr="00954D0D" w:rsidRDefault="00954D0D" w:rsidP="00954D0D">
      <w:pPr>
        <w:tabs>
          <w:tab w:val="left" w:pos="3926"/>
        </w:tabs>
        <w:spacing w:after="0" w:line="240" w:lineRule="auto"/>
        <w:jc w:val="both"/>
        <w:rPr>
          <w:rFonts w:ascii="Times New Roman" w:hAnsi="Times New Roman" w:cs="Times New Roman"/>
          <w:color w:val="000000" w:themeColor="text1"/>
          <w:sz w:val="24"/>
          <w:szCs w:val="24"/>
        </w:rPr>
      </w:pPr>
      <w:r w:rsidRPr="00954D0D">
        <w:rPr>
          <w:rFonts w:ascii="Times New Roman" w:hAnsi="Times New Roman" w:cs="Times New Roman"/>
          <w:i/>
          <w:iCs/>
          <w:color w:val="000000" w:themeColor="text1"/>
          <w:sz w:val="24"/>
          <w:szCs w:val="24"/>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23AAAF7C" w14:textId="77777777" w:rsidR="00954D0D" w:rsidRPr="00954D0D" w:rsidRDefault="00954D0D" w:rsidP="00954D0D">
      <w:pPr>
        <w:spacing w:after="0" w:line="240" w:lineRule="auto"/>
        <w:rPr>
          <w:rFonts w:ascii="Times New Roman" w:hAnsi="Times New Roman" w:cs="Times New Roman"/>
          <w:color w:val="000000" w:themeColor="text1"/>
          <w:sz w:val="24"/>
          <w:szCs w:val="24"/>
        </w:rPr>
      </w:pPr>
    </w:p>
    <w:p w14:paraId="661AE51D" w14:textId="77777777" w:rsidR="00954D0D" w:rsidRPr="00954D0D" w:rsidRDefault="00954D0D" w:rsidP="00954D0D">
      <w:pPr>
        <w:tabs>
          <w:tab w:val="center" w:pos="4678"/>
          <w:tab w:val="left" w:pos="6521"/>
        </w:tabs>
        <w:spacing w:after="0" w:line="240" w:lineRule="auto"/>
        <w:rPr>
          <w:rFonts w:ascii="Times New Roman" w:hAnsi="Times New Roman" w:cs="Times New Roman"/>
          <w:b/>
          <w:bCs/>
          <w:color w:val="000000" w:themeColor="text1"/>
          <w:sz w:val="24"/>
          <w:szCs w:val="24"/>
        </w:rPr>
      </w:pPr>
      <w:r w:rsidRPr="00954D0D">
        <w:rPr>
          <w:rFonts w:ascii="Times New Roman" w:hAnsi="Times New Roman" w:cs="Times New Roman"/>
          <w:b/>
          <w:bCs/>
          <w:color w:val="000000" w:themeColor="text1"/>
          <w:sz w:val="24"/>
          <w:szCs w:val="24"/>
        </w:rPr>
        <w:tab/>
        <w:t>Технічні вимоги</w:t>
      </w:r>
      <w:r w:rsidRPr="00954D0D">
        <w:rPr>
          <w:rFonts w:ascii="Times New Roman" w:hAnsi="Times New Roman" w:cs="Times New Roman"/>
          <w:b/>
          <w:bCs/>
          <w:color w:val="000000" w:themeColor="text1"/>
          <w:sz w:val="24"/>
          <w:szCs w:val="24"/>
        </w:rPr>
        <w:tab/>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798"/>
        <w:gridCol w:w="3666"/>
        <w:gridCol w:w="1315"/>
        <w:gridCol w:w="1302"/>
      </w:tblGrid>
      <w:tr w:rsidR="00954D0D" w:rsidRPr="00954D0D" w14:paraId="0BA50C16" w14:textId="77777777" w:rsidTr="00647240">
        <w:tc>
          <w:tcPr>
            <w:tcW w:w="284" w:type="pct"/>
            <w:tcBorders>
              <w:top w:val="single" w:sz="4" w:space="0" w:color="auto"/>
              <w:left w:val="single" w:sz="4" w:space="0" w:color="auto"/>
              <w:bottom w:val="single" w:sz="4" w:space="0" w:color="auto"/>
              <w:right w:val="single" w:sz="4" w:space="0" w:color="auto"/>
            </w:tcBorders>
            <w:vAlign w:val="center"/>
          </w:tcPr>
          <w:p w14:paraId="30D464CD" w14:textId="77777777" w:rsidR="00954D0D" w:rsidRPr="00954D0D" w:rsidRDefault="00954D0D" w:rsidP="00954D0D">
            <w:pPr>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 з/п</w:t>
            </w:r>
          </w:p>
        </w:tc>
        <w:tc>
          <w:tcPr>
            <w:tcW w:w="3357" w:type="pct"/>
            <w:gridSpan w:val="2"/>
            <w:tcBorders>
              <w:top w:val="single" w:sz="4" w:space="0" w:color="auto"/>
              <w:left w:val="single" w:sz="4" w:space="0" w:color="auto"/>
              <w:bottom w:val="single" w:sz="4" w:space="0" w:color="auto"/>
              <w:right w:val="single" w:sz="4" w:space="0" w:color="auto"/>
            </w:tcBorders>
          </w:tcPr>
          <w:p w14:paraId="5F2BC917"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Найменування обладнання, технічні характеристики та вимоги до обладнання</w:t>
            </w:r>
          </w:p>
        </w:tc>
        <w:tc>
          <w:tcPr>
            <w:tcW w:w="683" w:type="pct"/>
            <w:tcBorders>
              <w:top w:val="single" w:sz="4" w:space="0" w:color="auto"/>
              <w:left w:val="single" w:sz="4" w:space="0" w:color="auto"/>
              <w:bottom w:val="single" w:sz="4" w:space="0" w:color="auto"/>
              <w:right w:val="single" w:sz="4" w:space="0" w:color="auto"/>
            </w:tcBorders>
          </w:tcPr>
          <w:p w14:paraId="2DCE4F2C"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Одиниця виміру</w:t>
            </w:r>
          </w:p>
        </w:tc>
        <w:tc>
          <w:tcPr>
            <w:tcW w:w="677" w:type="pct"/>
            <w:tcBorders>
              <w:top w:val="single" w:sz="4" w:space="0" w:color="auto"/>
              <w:left w:val="single" w:sz="4" w:space="0" w:color="auto"/>
              <w:bottom w:val="single" w:sz="4" w:space="0" w:color="auto"/>
              <w:right w:val="single" w:sz="4" w:space="0" w:color="auto"/>
            </w:tcBorders>
            <w:vAlign w:val="center"/>
          </w:tcPr>
          <w:p w14:paraId="5EC02053"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 xml:space="preserve">Кіль-кість </w:t>
            </w:r>
          </w:p>
        </w:tc>
      </w:tr>
      <w:tr w:rsidR="00954D0D" w:rsidRPr="00954D0D" w14:paraId="77440795" w14:textId="77777777" w:rsidTr="00647240">
        <w:tc>
          <w:tcPr>
            <w:tcW w:w="284" w:type="pct"/>
            <w:tcBorders>
              <w:top w:val="single" w:sz="4" w:space="0" w:color="auto"/>
              <w:left w:val="single" w:sz="4" w:space="0" w:color="auto"/>
              <w:bottom w:val="single" w:sz="4" w:space="0" w:color="auto"/>
              <w:right w:val="single" w:sz="4" w:space="0" w:color="auto"/>
            </w:tcBorders>
            <w:vAlign w:val="center"/>
          </w:tcPr>
          <w:p w14:paraId="55CD6C1A" w14:textId="77777777" w:rsidR="00954D0D" w:rsidRPr="00954D0D" w:rsidRDefault="00954D0D" w:rsidP="00954D0D">
            <w:pPr>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w:t>
            </w:r>
          </w:p>
        </w:tc>
        <w:tc>
          <w:tcPr>
            <w:tcW w:w="3357" w:type="pct"/>
            <w:gridSpan w:val="2"/>
            <w:tcBorders>
              <w:top w:val="single" w:sz="4" w:space="0" w:color="auto"/>
              <w:left w:val="single" w:sz="4" w:space="0" w:color="auto"/>
              <w:bottom w:val="single" w:sz="4" w:space="0" w:color="auto"/>
              <w:right w:val="single" w:sz="4" w:space="0" w:color="auto"/>
            </w:tcBorders>
          </w:tcPr>
          <w:p w14:paraId="44B8FF8E"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II</w:t>
            </w:r>
          </w:p>
        </w:tc>
        <w:tc>
          <w:tcPr>
            <w:tcW w:w="683" w:type="pct"/>
            <w:tcBorders>
              <w:top w:val="single" w:sz="4" w:space="0" w:color="auto"/>
              <w:left w:val="single" w:sz="4" w:space="0" w:color="auto"/>
              <w:bottom w:val="single" w:sz="4" w:space="0" w:color="auto"/>
              <w:right w:val="single" w:sz="4" w:space="0" w:color="auto"/>
            </w:tcBorders>
          </w:tcPr>
          <w:p w14:paraId="0830C9D3"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III</w:t>
            </w:r>
          </w:p>
        </w:tc>
        <w:tc>
          <w:tcPr>
            <w:tcW w:w="677" w:type="pct"/>
            <w:tcBorders>
              <w:top w:val="single" w:sz="4" w:space="0" w:color="auto"/>
              <w:left w:val="single" w:sz="4" w:space="0" w:color="auto"/>
              <w:bottom w:val="single" w:sz="4" w:space="0" w:color="auto"/>
              <w:right w:val="single" w:sz="4" w:space="0" w:color="auto"/>
            </w:tcBorders>
            <w:vAlign w:val="center"/>
          </w:tcPr>
          <w:p w14:paraId="52BB51F5"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IV</w:t>
            </w:r>
          </w:p>
        </w:tc>
      </w:tr>
      <w:tr w:rsidR="00954D0D" w:rsidRPr="00954D0D" w14:paraId="1177E66C" w14:textId="77777777" w:rsidTr="00647240">
        <w:tc>
          <w:tcPr>
            <w:tcW w:w="284" w:type="pct"/>
            <w:vMerge w:val="restart"/>
          </w:tcPr>
          <w:p w14:paraId="07E3C855" w14:textId="77777777" w:rsidR="00954D0D" w:rsidRPr="00954D0D" w:rsidRDefault="00954D0D" w:rsidP="00954D0D">
            <w:pPr>
              <w:suppressLineNumbers/>
              <w:autoSpaceDE w:val="0"/>
              <w:autoSpaceDN w:val="0"/>
              <w:spacing w:line="240" w:lineRule="auto"/>
              <w:ind w:left="-483" w:right="-393"/>
              <w:jc w:val="center"/>
              <w:rPr>
                <w:rFonts w:ascii="Times New Roman" w:hAnsi="Times New Roman" w:cs="Times New Roman"/>
                <w:b/>
                <w:spacing w:val="-20"/>
                <w:sz w:val="24"/>
                <w:szCs w:val="24"/>
                <w14:numForm w14:val="lining"/>
              </w:rPr>
            </w:pPr>
            <w:r w:rsidRPr="00954D0D">
              <w:rPr>
                <w:rFonts w:ascii="Times New Roman" w:hAnsi="Times New Roman" w:cs="Times New Roman"/>
                <w:b/>
                <w:spacing w:val="-20"/>
                <w:sz w:val="24"/>
                <w:szCs w:val="24"/>
                <w:lang w:val="en-US"/>
                <w14:numForm w14:val="lining"/>
              </w:rPr>
              <w:t>1</w:t>
            </w:r>
          </w:p>
        </w:tc>
        <w:tc>
          <w:tcPr>
            <w:tcW w:w="3357" w:type="pct"/>
            <w:gridSpan w:val="2"/>
          </w:tcPr>
          <w:p w14:paraId="48891941" w14:textId="77777777" w:rsidR="00954D0D" w:rsidRPr="00954D0D" w:rsidRDefault="00954D0D" w:rsidP="00954D0D">
            <w:pPr>
              <w:spacing w:line="240" w:lineRule="auto"/>
              <w:jc w:val="both"/>
              <w:rPr>
                <w:rFonts w:ascii="Times New Roman" w:hAnsi="Times New Roman" w:cs="Times New Roman"/>
                <w:sz w:val="24"/>
                <w:szCs w:val="24"/>
                <w14:numForm w14:val="lining"/>
              </w:rPr>
            </w:pPr>
            <w:r w:rsidRPr="00954D0D">
              <w:rPr>
                <w:rFonts w:ascii="Times New Roman" w:hAnsi="Times New Roman" w:cs="Times New Roman"/>
                <w:b/>
                <w:sz w:val="24"/>
                <w:szCs w:val="24"/>
                <w14:numForm w14:val="lining"/>
              </w:rPr>
              <w:t xml:space="preserve">Система захисту доступу користувачів за рахунок багатофакторної аутентифікації </w:t>
            </w:r>
            <w:r w:rsidRPr="00954D0D">
              <w:rPr>
                <w:rFonts w:ascii="Times New Roman" w:hAnsi="Times New Roman" w:cs="Times New Roman"/>
                <w:sz w:val="24"/>
                <w:szCs w:val="24"/>
                <w14:numForm w14:val="lining"/>
              </w:rPr>
              <w:t>у складі:</w:t>
            </w:r>
          </w:p>
          <w:p w14:paraId="4E9AAB2E" w14:textId="77777777" w:rsidR="00954D0D" w:rsidRPr="00954D0D" w:rsidRDefault="00954D0D" w:rsidP="00954D0D">
            <w:pPr>
              <w:spacing w:line="240" w:lineRule="auto"/>
              <w:ind w:left="360"/>
              <w:jc w:val="both"/>
              <w:rPr>
                <w:rFonts w:ascii="Times New Roman" w:hAnsi="Times New Roman" w:cs="Times New Roman"/>
                <w:sz w:val="24"/>
                <w:szCs w:val="24"/>
                <w14:numForm w14:val="lining"/>
              </w:rPr>
            </w:pPr>
            <w:r w:rsidRPr="00954D0D">
              <w:rPr>
                <w:rFonts w:ascii="Times New Roman" w:hAnsi="Times New Roman" w:cs="Times New Roman"/>
                <w:b/>
                <w:sz w:val="24"/>
                <w:szCs w:val="24"/>
                <w14:numForm w14:val="lining"/>
              </w:rPr>
              <w:t>- Необхідні ліцензії та підписки</w:t>
            </w:r>
            <w:r w:rsidRPr="00954D0D">
              <w:rPr>
                <w:rFonts w:ascii="Times New Roman" w:hAnsi="Times New Roman" w:cs="Times New Roman"/>
                <w:sz w:val="24"/>
                <w:szCs w:val="24"/>
                <w14:numForm w14:val="lining"/>
              </w:rPr>
              <w:t xml:space="preserve"> на використання функціоналу багатофакторної аутентифікації (</w:t>
            </w:r>
            <w:r w:rsidRPr="00954D0D">
              <w:rPr>
                <w:rFonts w:ascii="Times New Roman" w:hAnsi="Times New Roman" w:cs="Times New Roman"/>
                <w:sz w:val="24"/>
                <w:szCs w:val="24"/>
                <w:lang w:val="en-US"/>
                <w14:numForm w14:val="lining"/>
              </w:rPr>
              <w:t>MFA</w:t>
            </w:r>
            <w:r w:rsidRPr="00954D0D">
              <w:rPr>
                <w:rFonts w:ascii="Times New Roman" w:hAnsi="Times New Roman" w:cs="Times New Roman"/>
                <w:sz w:val="24"/>
                <w:szCs w:val="24"/>
                <w14:numForm w14:val="lining"/>
              </w:rPr>
              <w:t>) – строком не менш ніж на 3 роки для 25 користувачів;</w:t>
            </w:r>
          </w:p>
        </w:tc>
        <w:tc>
          <w:tcPr>
            <w:tcW w:w="683" w:type="pct"/>
          </w:tcPr>
          <w:p w14:paraId="1EA5D203" w14:textId="77777777" w:rsidR="00954D0D" w:rsidRPr="00954D0D" w:rsidRDefault="00954D0D" w:rsidP="00954D0D">
            <w:pPr>
              <w:suppressLineNumbers/>
              <w:suppressAutoHyphens/>
              <w:autoSpaceDE w:val="0"/>
              <w:spacing w:line="240" w:lineRule="auto"/>
              <w:jc w:val="center"/>
              <w:rPr>
                <w:rFonts w:ascii="Times New Roman" w:hAnsi="Times New Roman" w:cs="Times New Roman"/>
                <w:b/>
                <w:sz w:val="24"/>
                <w:szCs w:val="24"/>
                <w:lang w:eastAsia="ar-SA"/>
                <w14:numForm w14:val="lining"/>
              </w:rPr>
            </w:pPr>
            <w:r w:rsidRPr="00954D0D">
              <w:rPr>
                <w:rFonts w:ascii="Times New Roman" w:hAnsi="Times New Roman" w:cs="Times New Roman"/>
                <w:b/>
                <w:sz w:val="24"/>
                <w:szCs w:val="24"/>
                <w:lang w:eastAsia="ar-SA"/>
                <w14:numForm w14:val="lining"/>
              </w:rPr>
              <w:t>комплект</w:t>
            </w:r>
          </w:p>
        </w:tc>
        <w:tc>
          <w:tcPr>
            <w:tcW w:w="677" w:type="pct"/>
          </w:tcPr>
          <w:p w14:paraId="5A768FCF" w14:textId="77777777" w:rsidR="00954D0D" w:rsidRPr="00954D0D" w:rsidRDefault="00954D0D" w:rsidP="00954D0D">
            <w:pPr>
              <w:suppressLineNumbers/>
              <w:suppressAutoHyphens/>
              <w:autoSpaceDE w:val="0"/>
              <w:spacing w:line="240" w:lineRule="auto"/>
              <w:jc w:val="center"/>
              <w:rPr>
                <w:rFonts w:ascii="Times New Roman" w:hAnsi="Times New Roman" w:cs="Times New Roman"/>
                <w:b/>
                <w:sz w:val="24"/>
                <w:szCs w:val="24"/>
                <w:lang w:eastAsia="ar-SA"/>
                <w14:numForm w14:val="lining"/>
              </w:rPr>
            </w:pPr>
            <w:r w:rsidRPr="00954D0D">
              <w:rPr>
                <w:rFonts w:ascii="Times New Roman" w:hAnsi="Times New Roman" w:cs="Times New Roman"/>
                <w:b/>
                <w:sz w:val="24"/>
                <w:szCs w:val="24"/>
                <w:lang w:eastAsia="ar-SA"/>
                <w14:numForm w14:val="lining"/>
              </w:rPr>
              <w:t>1</w:t>
            </w:r>
          </w:p>
        </w:tc>
      </w:tr>
      <w:tr w:rsidR="00954D0D" w:rsidRPr="00954D0D" w14:paraId="60EF5CF2" w14:textId="77777777" w:rsidTr="00647240">
        <w:tc>
          <w:tcPr>
            <w:tcW w:w="284" w:type="pct"/>
            <w:vMerge/>
          </w:tcPr>
          <w:p w14:paraId="3FCF7821"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4716" w:type="pct"/>
            <w:gridSpan w:val="4"/>
          </w:tcPr>
          <w:p w14:paraId="15405AFD" w14:textId="77777777" w:rsidR="00954D0D" w:rsidRPr="00954D0D" w:rsidRDefault="00954D0D" w:rsidP="00954D0D">
            <w:pPr>
              <w:suppressLineNumbers/>
              <w:suppressAutoHyphens/>
              <w:autoSpaceDE w:val="0"/>
              <w:spacing w:line="240" w:lineRule="auto"/>
              <w:rPr>
                <w:rFonts w:ascii="Times New Roman" w:hAnsi="Times New Roman" w:cs="Times New Roman"/>
                <w:b/>
                <w:sz w:val="24"/>
                <w:szCs w:val="24"/>
                <w:lang w:eastAsia="ar-SA"/>
                <w14:numForm w14:val="lining"/>
              </w:rPr>
            </w:pPr>
            <w:r w:rsidRPr="00954D0D">
              <w:rPr>
                <w:rFonts w:ascii="Times New Roman" w:hAnsi="Times New Roman" w:cs="Times New Roman"/>
                <w:b/>
                <w:sz w:val="24"/>
                <w:szCs w:val="24"/>
                <w:lang w:eastAsia="ar-SA"/>
                <w14:numForm w14:val="lining"/>
              </w:rPr>
              <w:t>Технічні характеристики та вимоги до товару</w:t>
            </w:r>
          </w:p>
        </w:tc>
      </w:tr>
      <w:tr w:rsidR="00954D0D" w:rsidRPr="00954D0D" w14:paraId="223D3950" w14:textId="77777777" w:rsidTr="00647240">
        <w:tc>
          <w:tcPr>
            <w:tcW w:w="284" w:type="pct"/>
            <w:vMerge/>
          </w:tcPr>
          <w:p w14:paraId="59CDA33A"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40FBD6D1" w14:textId="77777777" w:rsidR="00954D0D" w:rsidRPr="00954D0D" w:rsidRDefault="00954D0D" w:rsidP="00954D0D">
            <w:pPr>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 xml:space="preserve">Архітектура </w:t>
            </w:r>
          </w:p>
        </w:tc>
        <w:tc>
          <w:tcPr>
            <w:tcW w:w="3263" w:type="pct"/>
            <w:gridSpan w:val="3"/>
          </w:tcPr>
          <w:p w14:paraId="186CD53D" w14:textId="77777777" w:rsidR="00954D0D" w:rsidRPr="00954D0D" w:rsidRDefault="00954D0D" w:rsidP="00954D0D">
            <w:pPr>
              <w:shd w:val="clear" w:color="auto" w:fill="FFFFFF"/>
              <w:spacing w:line="240" w:lineRule="auto"/>
              <w:contextualSpacing/>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Хмарне рішення для захисту доступу користувачів за рахунок багатофакторної аутентифікації</w:t>
            </w:r>
          </w:p>
        </w:tc>
      </w:tr>
      <w:tr w:rsidR="00954D0D" w:rsidRPr="00954D0D" w14:paraId="45A35C2D" w14:textId="77777777" w:rsidTr="00647240">
        <w:tc>
          <w:tcPr>
            <w:tcW w:w="284" w:type="pct"/>
            <w:vMerge/>
          </w:tcPr>
          <w:p w14:paraId="21CC75BA"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3BCD14DF" w14:textId="77777777" w:rsidR="00954D0D" w:rsidRPr="00954D0D" w:rsidRDefault="00954D0D" w:rsidP="00954D0D">
            <w:pPr>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Контроль користувачів</w:t>
            </w:r>
          </w:p>
        </w:tc>
        <w:tc>
          <w:tcPr>
            <w:tcW w:w="3263" w:type="pct"/>
            <w:gridSpan w:val="3"/>
            <w:vAlign w:val="center"/>
          </w:tcPr>
          <w:p w14:paraId="45A6809C"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аутентифікації користувача другим фактором (</w:t>
            </w:r>
            <w:r w:rsidRPr="00954D0D">
              <w:rPr>
                <w:rFonts w:ascii="Times New Roman" w:hAnsi="Times New Roman" w:cs="Times New Roman"/>
                <w:sz w:val="24"/>
                <w:szCs w:val="24"/>
                <w:lang w:val="en-US"/>
                <w14:numForm w14:val="lining"/>
              </w:rPr>
              <w:t>MFA</w:t>
            </w:r>
            <w:r w:rsidRPr="00954D0D">
              <w:rPr>
                <w:rFonts w:ascii="Times New Roman" w:hAnsi="Times New Roman" w:cs="Times New Roman"/>
                <w:sz w:val="24"/>
                <w:szCs w:val="24"/>
                <w14:numForm w14:val="lining"/>
              </w:rPr>
              <w:t>).</w:t>
            </w:r>
          </w:p>
          <w:p w14:paraId="1FA0B318"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 xml:space="preserve">Підтримка аутентифікації за допомогою </w:t>
            </w:r>
            <w:r w:rsidRPr="00954D0D">
              <w:rPr>
                <w:rFonts w:ascii="Times New Roman" w:hAnsi="Times New Roman" w:cs="Times New Roman"/>
                <w:sz w:val="24"/>
                <w:szCs w:val="24"/>
                <w:lang w:val="en-US"/>
                <w14:numForm w14:val="lining"/>
              </w:rPr>
              <w:t>push</w:t>
            </w:r>
            <w:r w:rsidRPr="00954D0D">
              <w:rPr>
                <w:rFonts w:ascii="Times New Roman" w:hAnsi="Times New Roman" w:cs="Times New Roman"/>
                <w:sz w:val="24"/>
                <w:szCs w:val="24"/>
                <w14:numForm w14:val="lining"/>
              </w:rPr>
              <w:t>-повідомлень.</w:t>
            </w:r>
          </w:p>
          <w:p w14:paraId="73037210"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 xml:space="preserve">Підтримка апаратних токенів, а також токенів </w:t>
            </w:r>
            <w:r w:rsidRPr="00954D0D">
              <w:rPr>
                <w:rFonts w:ascii="Times New Roman" w:hAnsi="Times New Roman" w:cs="Times New Roman"/>
                <w:sz w:val="24"/>
                <w:szCs w:val="24"/>
                <w:lang w:val="en-US"/>
                <w14:numForm w14:val="lining"/>
              </w:rPr>
              <w:t>YubiKey</w:t>
            </w:r>
            <w:r w:rsidRPr="00954D0D">
              <w:rPr>
                <w:rFonts w:ascii="Times New Roman" w:hAnsi="Times New Roman" w:cs="Times New Roman"/>
                <w:sz w:val="24"/>
                <w:szCs w:val="24"/>
                <w14:numForm w14:val="lining"/>
              </w:rPr>
              <w:t xml:space="preserve"> та </w:t>
            </w:r>
            <w:r w:rsidRPr="00954D0D">
              <w:rPr>
                <w:rFonts w:ascii="Times New Roman" w:hAnsi="Times New Roman" w:cs="Times New Roman"/>
                <w:sz w:val="24"/>
                <w:szCs w:val="24"/>
                <w:lang w:val="en-US"/>
                <w14:numForm w14:val="lining"/>
              </w:rPr>
              <w:t>U</w:t>
            </w:r>
            <w:r w:rsidRPr="00954D0D">
              <w:rPr>
                <w:rFonts w:ascii="Times New Roman" w:hAnsi="Times New Roman" w:cs="Times New Roman"/>
                <w:sz w:val="24"/>
                <w:szCs w:val="24"/>
                <w14:numForm w14:val="lining"/>
              </w:rPr>
              <w:t>2</w:t>
            </w:r>
            <w:r w:rsidRPr="00954D0D">
              <w:rPr>
                <w:rFonts w:ascii="Times New Roman" w:hAnsi="Times New Roman" w:cs="Times New Roman"/>
                <w:sz w:val="24"/>
                <w:szCs w:val="24"/>
                <w:lang w:val="en-US"/>
                <w14:numForm w14:val="lining"/>
              </w:rPr>
              <w:t>F</w:t>
            </w:r>
            <w:r w:rsidRPr="00954D0D">
              <w:rPr>
                <w:rFonts w:ascii="Times New Roman" w:hAnsi="Times New Roman" w:cs="Times New Roman"/>
                <w:sz w:val="24"/>
                <w:szCs w:val="24"/>
                <w14:numForm w14:val="lining"/>
              </w:rPr>
              <w:t>.</w:t>
            </w:r>
          </w:p>
          <w:p w14:paraId="663BC18D"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аутентифікації за допомогою одноразового пароля мобільного застосунка, навіть при недоступності зв'язку на мобільному пристрої, на якому встановлено програму аутентифікації.</w:t>
            </w:r>
          </w:p>
          <w:p w14:paraId="1D7D343D"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аутентифікації за допомогою пароля, згенерованого адміністратором, у разі неможливості аутентифікації користувачем.</w:t>
            </w:r>
          </w:p>
          <w:p w14:paraId="6749BEDB"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Рішення має передбачати можливість аутентифікації без додаткових витрат на мобільний зв'язок та/або інтернет.</w:t>
            </w:r>
          </w:p>
          <w:p w14:paraId="132BC854"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Повинна бути передбачена можливість самостійної реєстрації користувачів за допомогою QR-коду.</w:t>
            </w:r>
          </w:p>
          <w:p w14:paraId="11B10028"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використання одним користувачем кількох пристроїв для аутентифікації.</w:t>
            </w:r>
          </w:p>
          <w:p w14:paraId="4E5FB681"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вибору користувачем основного пристрою для автентифікації.</w:t>
            </w:r>
          </w:p>
          <w:p w14:paraId="48E940A3"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При неможливості використання основного пристрою для автентифікації надання можливості доступності для автентифікації альтернативного пристрою.</w:t>
            </w:r>
          </w:p>
          <w:p w14:paraId="37619BE3"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вибору користувачем альтернативного пристрою аутентифікації за недоступності пріоритетного пристрою.</w:t>
            </w:r>
          </w:p>
          <w:p w14:paraId="36A611CE"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керування користувачами своїми пристроями без залучення адміністратора рішення. Можливість самообслуговування користувача має налаштовуватися на рівні групи користувача/програми.</w:t>
            </w:r>
          </w:p>
          <w:p w14:paraId="1C05EA79"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Портал самообслуговування користувачів має бути захищений за допомогою двофакторної аутентифікації.</w:t>
            </w:r>
          </w:p>
          <w:p w14:paraId="2A00E73F"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різних мобільних платформ (iOS, Android, Windows Mobile) для автентифікації.</w:t>
            </w:r>
          </w:p>
          <w:p w14:paraId="7FB413B4"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Відсутність додаткових витрат при розгортанні мобільного застосунку на смартфонах.</w:t>
            </w:r>
          </w:p>
          <w:p w14:paraId="3A64ECF5"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Рішення має передбачати можливість реалізації другого фактора аутентифікації після завершення основної аутентифікації на програмі/сервісі.</w:t>
            </w:r>
          </w:p>
          <w:p w14:paraId="4CE3438D"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Довірені кінцеві точки: підтримка блокування доступу з невідомих, незареєстрованих пристроїв і дозвіл доступу до ресурсів лише довіреним пристроям.</w:t>
            </w:r>
          </w:p>
        </w:tc>
      </w:tr>
      <w:tr w:rsidR="00954D0D" w:rsidRPr="00954D0D" w14:paraId="2BBCC0DD" w14:textId="77777777" w:rsidTr="00647240">
        <w:tc>
          <w:tcPr>
            <w:tcW w:w="284" w:type="pct"/>
            <w:vMerge/>
          </w:tcPr>
          <w:p w14:paraId="27141007"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47B7A2AD" w14:textId="77777777" w:rsidR="00954D0D" w:rsidRPr="00954D0D" w:rsidRDefault="00954D0D" w:rsidP="00954D0D">
            <w:pPr>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Адміністрування</w:t>
            </w:r>
          </w:p>
        </w:tc>
        <w:tc>
          <w:tcPr>
            <w:tcW w:w="3263" w:type="pct"/>
            <w:gridSpan w:val="3"/>
            <w:vAlign w:val="center"/>
          </w:tcPr>
          <w:p w14:paraId="6AE8A149"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автоматичного створення/синхронізації користувачів у системі багатофакторної автентифікації з Active Directory компанії.</w:t>
            </w:r>
          </w:p>
          <w:p w14:paraId="79805092"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lastRenderedPageBreak/>
              <w:t>Створення користувачів у системі багатофакторної аутентифікації за допомогою CSV-файлів.</w:t>
            </w:r>
          </w:p>
          <w:p w14:paraId="4A9FF656"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Створення користувачів у системі багатофакторної аутентифікації за допомогою RestFul APIs.</w:t>
            </w:r>
          </w:p>
          <w:p w14:paraId="75BA2079"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самостійної реєстрації користувачів у системі багатофакторної аутентифікації залежно від групи/застосунку.</w:t>
            </w:r>
          </w:p>
          <w:p w14:paraId="007CBCFE"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Створення користувачів у системі багатофакторної аутентифікації за допомогою e-mail.</w:t>
            </w:r>
          </w:p>
          <w:p w14:paraId="4C6B19A4"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Рішення має передбачати можливість налаштування шаблону e-mail, який використовується для реєстрації користувачів</w:t>
            </w:r>
          </w:p>
          <w:p w14:paraId="43C3795A"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Рішення має передбачати можливість використання облікових записів користувачів у NTLM та UPN форматах.</w:t>
            </w:r>
          </w:p>
          <w:p w14:paraId="3D134FA8"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Рішення має передбачати можливість використання кількох доменів Active directory. Як унікальний атрибут користувача можливе використання UPN, NTLM, EmployeeID або інших атрибутів.</w:t>
            </w:r>
          </w:p>
          <w:p w14:paraId="28E3B155"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Рішення має передбачати можливість експорту журналів подій у сторонні SIEM системи за допомогою API.</w:t>
            </w:r>
          </w:p>
          <w:p w14:paraId="4216C06D"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Рішення має передбачати можливість адміністрування через інтерфейс Restful API.</w:t>
            </w:r>
          </w:p>
          <w:p w14:paraId="7DE0F86D"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розмежування ролей та прав різних груп адміністраторів системи.</w:t>
            </w:r>
          </w:p>
          <w:p w14:paraId="3AA75DD7"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Підтримка журналювання всіх дій адміністраторів</w:t>
            </w:r>
          </w:p>
          <w:p w14:paraId="41C7DED7"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lang w:eastAsia="ru-RU"/>
                <w14:numForm w14:val="lining"/>
              </w:rPr>
            </w:pPr>
            <w:r w:rsidRPr="00954D0D">
              <w:rPr>
                <w:rFonts w:ascii="Times New Roman" w:hAnsi="Times New Roman" w:cs="Times New Roman"/>
                <w:sz w:val="24"/>
                <w:szCs w:val="24"/>
                <w14:numForm w14:val="lining"/>
              </w:rPr>
              <w:t>Підтримка використання корпоративних логотипів у додатку аутентифікації, сайті реєстрації та веб-сторінці аутентифікації.</w:t>
            </w:r>
          </w:p>
        </w:tc>
      </w:tr>
      <w:tr w:rsidR="00954D0D" w:rsidRPr="00954D0D" w14:paraId="55E1BBFF" w14:textId="77777777" w:rsidTr="00647240">
        <w:trPr>
          <w:trHeight w:val="337"/>
        </w:trPr>
        <w:tc>
          <w:tcPr>
            <w:tcW w:w="284" w:type="pct"/>
            <w:vMerge/>
          </w:tcPr>
          <w:p w14:paraId="033FA133"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3B17DCDF" w14:textId="77777777" w:rsidR="00954D0D" w:rsidRPr="00954D0D" w:rsidRDefault="00954D0D" w:rsidP="00954D0D">
            <w:pPr>
              <w:suppressLineNumbers/>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Інтеграція з іншими системами (функціональна сумісність)</w:t>
            </w:r>
          </w:p>
        </w:tc>
        <w:tc>
          <w:tcPr>
            <w:tcW w:w="3263" w:type="pct"/>
            <w:gridSpan w:val="3"/>
            <w:vAlign w:val="bottom"/>
          </w:tcPr>
          <w:p w14:paraId="1D812B76"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 xml:space="preserve">Рішення має передбачати можливість інтеграції з Cisco ASA, </w:t>
            </w:r>
            <w:r w:rsidRPr="00954D0D">
              <w:rPr>
                <w:rFonts w:ascii="Times New Roman" w:hAnsi="Times New Roman" w:cs="Times New Roman"/>
                <w:sz w:val="24"/>
                <w:szCs w:val="24"/>
                <w:lang w:val="en-US"/>
              </w:rPr>
              <w:t>FirePower</w:t>
            </w:r>
            <w:r w:rsidRPr="00954D0D">
              <w:rPr>
                <w:rFonts w:ascii="Times New Roman" w:hAnsi="Times New Roman" w:cs="Times New Roman"/>
                <w:sz w:val="24"/>
                <w:szCs w:val="24"/>
              </w:rPr>
              <w:t xml:space="preserve"> під час використання IPSec та SSL VPN-з'єднання.</w:t>
            </w:r>
          </w:p>
          <w:p w14:paraId="7F6D0D2E"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 xml:space="preserve">Рішення має передбачати можливість використання спільно з клієнтом Cisco </w:t>
            </w:r>
            <w:r w:rsidRPr="00954D0D">
              <w:rPr>
                <w:rFonts w:ascii="Times New Roman" w:hAnsi="Times New Roman" w:cs="Times New Roman"/>
                <w:sz w:val="24"/>
                <w:szCs w:val="24"/>
                <w:lang w:val="en-US"/>
              </w:rPr>
              <w:t>Secure</w:t>
            </w:r>
            <w:r w:rsidRPr="00954D0D">
              <w:rPr>
                <w:rFonts w:ascii="Times New Roman" w:hAnsi="Times New Roman" w:cs="Times New Roman"/>
                <w:sz w:val="24"/>
                <w:szCs w:val="24"/>
              </w:rPr>
              <w:t xml:space="preserve"> </w:t>
            </w:r>
            <w:r w:rsidRPr="00954D0D">
              <w:rPr>
                <w:rFonts w:ascii="Times New Roman" w:hAnsi="Times New Roman" w:cs="Times New Roman"/>
                <w:sz w:val="24"/>
                <w:szCs w:val="24"/>
                <w:lang w:val="en-US"/>
              </w:rPr>
              <w:t>Client</w:t>
            </w:r>
            <w:r w:rsidRPr="00954D0D">
              <w:rPr>
                <w:rFonts w:ascii="Times New Roman" w:hAnsi="Times New Roman" w:cs="Times New Roman"/>
                <w:sz w:val="24"/>
                <w:szCs w:val="24"/>
              </w:rPr>
              <w:t xml:space="preserve"> (AnyConnect).</w:t>
            </w:r>
          </w:p>
          <w:p w14:paraId="159F8A36"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t xml:space="preserve">Підтримка VPN - від Cisco, Akamia, Juniper, PulseSecure, Citrix, F5, PaloAlto, SOPHOS, Fortinet, Barracuda, Array, SonicWall, OpenVPN, NetMotion, Checkpoint, </w:t>
            </w:r>
            <w:r w:rsidRPr="00954D0D">
              <w:rPr>
                <w:rFonts w:ascii="Times New Roman" w:hAnsi="Times New Roman" w:cs="Times New Roman"/>
                <w:sz w:val="24"/>
                <w:szCs w:val="24"/>
                <w:lang w:val="en-US" w:eastAsia="ar-SA"/>
                <w14:numForm w14:val="lining"/>
              </w:rPr>
              <w:t>etc</w:t>
            </w:r>
            <w:r w:rsidRPr="00954D0D">
              <w:rPr>
                <w:rFonts w:ascii="Times New Roman" w:hAnsi="Times New Roman" w:cs="Times New Roman"/>
                <w:sz w:val="24"/>
                <w:szCs w:val="24"/>
                <w:lang w:eastAsia="ar-SA"/>
                <w14:numForm w14:val="lining"/>
              </w:rPr>
              <w:t>..</w:t>
            </w:r>
          </w:p>
          <w:p w14:paraId="2485EDB2"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наступними VPN-сервісами: Checkpoint VPN, Fortinet VPN, Open VPN, Palo Alto Global Protect VPN, Juniper SSL VPN.</w:t>
            </w:r>
          </w:p>
          <w:p w14:paraId="40FC825B"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t>Підтримка наступних продуктів Microsoft - Outlook Web App, Office 365, Windows, Active Directory, Remote Desktop Service, Forefront TMG, Forefront, UAG, RRAS.</w:t>
            </w:r>
          </w:p>
          <w:p w14:paraId="3221BBD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t>Підтримка Web-застосунків - WordPress, Confluence, JIRA, Drupal, Splunk, LastPass, iPassword.</w:t>
            </w:r>
          </w:p>
          <w:p w14:paraId="53301EB1"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t>Підтримка ID Provider - AWS, CAS, Cisco, Oracle, Okta, Onelogin, PingFederate, SailPoint, Shibboleth</w:t>
            </w:r>
          </w:p>
          <w:p w14:paraId="7816423E"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lastRenderedPageBreak/>
              <w:t>Підтримка хмарних сервісів  - Adobe Document Cloud, Aha!, AWS, asana, ATLASSIAN, bambooHR, Barracuda, BlueJeans, BOMGAR SSO, Bonusly, BOX, bugsnag, canvas, Cisco, clarizen, Confluence, CRASHPLAN, CYBERARK, DATADOG, desk, digicert, DocuSign, Dropbox, EGNYTE, EVERNOTE, Expensify, freshdesk, GitHub, GoTo Apps, greenhouse, G SUite, hackerone, HackerRank, heroku, HipChat, IGLOO, Intacct, jamf pro, JitBit, JIRA, looker, Marketo, monday.com, Namely, netdocuments, NewRelic, Office 365, pagerduty, PaloAlto, remedyforce, RingCentral, Robin, Salesforce, samanage, SOURCELABS, Citrix ShareFile, Signal Sciences, slack, smartsheet, splunk, StatusPage.io, SUGARCRM, sumologic, syncplicity, tableau, udemy, uservoice, workday, workplace, zendesk, zoom.</w:t>
            </w:r>
          </w:p>
          <w:p w14:paraId="08F82B7B"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t>Підтримка інших застосунків - macOS, Epic, AWS workspace, Oracle peoplesoft, Juniper UAC, vmware Horizon View, BOMGAR, CYBERARK, thycotic.</w:t>
            </w:r>
          </w:p>
          <w:p w14:paraId="33A8B0FA"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t>Підтримка доступу через UNIX/Linux SSH.</w:t>
            </w:r>
          </w:p>
          <w:p w14:paraId="699A2F80"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r w:rsidRPr="00954D0D">
              <w:rPr>
                <w:rFonts w:ascii="Times New Roman" w:hAnsi="Times New Roman" w:cs="Times New Roman"/>
                <w:sz w:val="24"/>
                <w:szCs w:val="24"/>
                <w:lang w:eastAsia="ar-SA"/>
                <w14:numForm w14:val="lining"/>
              </w:rPr>
              <w:t>Підтримка SDK для інтеграції веб-застосунків.</w:t>
            </w:r>
          </w:p>
          <w:p w14:paraId="5B1D22AE"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lang w:eastAsia="ar-SA"/>
                <w14:numForm w14:val="lining"/>
              </w:rPr>
              <w:t>Підтримка протоколів RADIUS / LDAP / SAML2.0 для аутентифікації.</w:t>
            </w:r>
          </w:p>
          <w:p w14:paraId="07C85D9B"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OWA Exchange (включаючи підтримку старих версій Exchange Server: 2008, 2010 та 2013).</w:t>
            </w:r>
          </w:p>
          <w:p w14:paraId="2CBBC87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сервісом Microsoft RDP (включаючи підтримку наступних операційних систем: Windows Vista SP2, Windows Server 2008 SP2, Windows 7 SP1, Windows Server 2008 SP1, Windows 8, Windows Server 2012, Windows 8.1, Windows Server 2 R2, Windows 10).</w:t>
            </w:r>
          </w:p>
          <w:p w14:paraId="3B06702C"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сервісом Microsoft Local Login (включаючи підтримку наступних операційних систем: Windows Vista SP2, Windows Server 2008 SP2, Windows 7 SP1, Windows Server 2008 SP1, Windows 8, Windows Server 2012, Windows 8.1, Windows Server 2012 R2, Windows 10).</w:t>
            </w:r>
          </w:p>
          <w:p w14:paraId="010A13E4"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*nix подібними операційними системами при використанні сервісу SSH та/або інтеграції з PAM-системами.</w:t>
            </w:r>
          </w:p>
          <w:p w14:paraId="7AA9C560"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VMWare View.</w:t>
            </w:r>
          </w:p>
          <w:p w14:paraId="5E05F2E1"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Office 365.</w:t>
            </w:r>
          </w:p>
          <w:p w14:paraId="2543829F"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 ADFS (v2.x та 3/2012r2).</w:t>
            </w:r>
          </w:p>
          <w:p w14:paraId="29F6E24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за протоколом Radius для аутентифікації.</w:t>
            </w:r>
          </w:p>
          <w:p w14:paraId="7F53B9CC"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Рішення має передбачати можливість інтеграції за протоколом LDAP для аутентифікації.</w:t>
            </w:r>
          </w:p>
          <w:p w14:paraId="4A0BB88D"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lastRenderedPageBreak/>
              <w:t>Рішення має передбачати можливість інтеграції за протоколом SAML 2.0 для аутентифікації.</w:t>
            </w:r>
          </w:p>
          <w:p w14:paraId="3EB3D35D"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 xml:space="preserve">Рішення має передбачати можливість інтеграції з хмарними сервісами, такими як </w:t>
            </w:r>
            <w:r w:rsidRPr="00954D0D">
              <w:rPr>
                <w:rFonts w:ascii="Times New Roman" w:hAnsi="Times New Roman" w:cs="Times New Roman"/>
                <w:sz w:val="24"/>
                <w:szCs w:val="24"/>
                <w:lang w:val="en-US"/>
              </w:rPr>
              <w:t>G</w:t>
            </w:r>
            <w:r w:rsidRPr="00954D0D">
              <w:rPr>
                <w:rFonts w:ascii="Times New Roman" w:hAnsi="Times New Roman" w:cs="Times New Roman"/>
                <w:sz w:val="24"/>
                <w:szCs w:val="24"/>
              </w:rPr>
              <w:t xml:space="preserve">oogleApps, </w:t>
            </w:r>
            <w:r w:rsidRPr="00954D0D">
              <w:rPr>
                <w:rFonts w:ascii="Times New Roman" w:hAnsi="Times New Roman" w:cs="Times New Roman"/>
                <w:sz w:val="24"/>
                <w:szCs w:val="24"/>
                <w:lang w:val="en-US"/>
              </w:rPr>
              <w:t>B</w:t>
            </w:r>
            <w:r w:rsidRPr="00954D0D">
              <w:rPr>
                <w:rFonts w:ascii="Times New Roman" w:hAnsi="Times New Roman" w:cs="Times New Roman"/>
                <w:sz w:val="24"/>
                <w:szCs w:val="24"/>
              </w:rPr>
              <w:t xml:space="preserve">ox, </w:t>
            </w:r>
            <w:r w:rsidRPr="00954D0D">
              <w:rPr>
                <w:rFonts w:ascii="Times New Roman" w:hAnsi="Times New Roman" w:cs="Times New Roman"/>
                <w:sz w:val="24"/>
                <w:szCs w:val="24"/>
                <w:lang w:val="en-US"/>
              </w:rPr>
              <w:t>S</w:t>
            </w:r>
            <w:r w:rsidRPr="00954D0D">
              <w:rPr>
                <w:rFonts w:ascii="Times New Roman" w:hAnsi="Times New Roman" w:cs="Times New Roman"/>
                <w:sz w:val="24"/>
                <w:szCs w:val="24"/>
              </w:rPr>
              <w:t xml:space="preserve">alesforce, </w:t>
            </w:r>
            <w:r w:rsidRPr="00954D0D">
              <w:rPr>
                <w:rFonts w:ascii="Times New Roman" w:hAnsi="Times New Roman" w:cs="Times New Roman"/>
                <w:sz w:val="24"/>
                <w:szCs w:val="24"/>
                <w:lang w:val="en-US"/>
              </w:rPr>
              <w:t>A</w:t>
            </w:r>
            <w:r w:rsidRPr="00954D0D">
              <w:rPr>
                <w:rFonts w:ascii="Times New Roman" w:hAnsi="Times New Roman" w:cs="Times New Roman"/>
                <w:sz w:val="24"/>
                <w:szCs w:val="24"/>
              </w:rPr>
              <w:t xml:space="preserve">mazon </w:t>
            </w:r>
            <w:r w:rsidRPr="00954D0D">
              <w:rPr>
                <w:rFonts w:ascii="Times New Roman" w:hAnsi="Times New Roman" w:cs="Times New Roman"/>
                <w:sz w:val="24"/>
                <w:szCs w:val="24"/>
                <w:lang w:val="en-US"/>
              </w:rPr>
              <w:t>W</w:t>
            </w:r>
            <w:r w:rsidRPr="00954D0D">
              <w:rPr>
                <w:rFonts w:ascii="Times New Roman" w:hAnsi="Times New Roman" w:cs="Times New Roman"/>
                <w:sz w:val="24"/>
                <w:szCs w:val="24"/>
              </w:rPr>
              <w:t xml:space="preserve">eb </w:t>
            </w:r>
            <w:r w:rsidRPr="00954D0D">
              <w:rPr>
                <w:rFonts w:ascii="Times New Roman" w:hAnsi="Times New Roman" w:cs="Times New Roman"/>
                <w:sz w:val="24"/>
                <w:szCs w:val="24"/>
                <w:lang w:val="en-US"/>
              </w:rPr>
              <w:t>S</w:t>
            </w:r>
            <w:r w:rsidRPr="00954D0D">
              <w:rPr>
                <w:rFonts w:ascii="Times New Roman" w:hAnsi="Times New Roman" w:cs="Times New Roman"/>
                <w:sz w:val="24"/>
                <w:szCs w:val="24"/>
              </w:rPr>
              <w:t>ervices тощо.</w:t>
            </w:r>
          </w:p>
          <w:p w14:paraId="13C05DF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r w:rsidRPr="00954D0D">
              <w:rPr>
                <w:rFonts w:ascii="Times New Roman" w:hAnsi="Times New Roman" w:cs="Times New Roman"/>
                <w:sz w:val="24"/>
                <w:szCs w:val="24"/>
              </w:rPr>
              <w:t>Технічна документація на рішення має бути доступна у відкритому доступі, без необхідності реєстрації на порталі.</w:t>
            </w:r>
          </w:p>
        </w:tc>
      </w:tr>
      <w:tr w:rsidR="00954D0D" w:rsidRPr="00954D0D" w14:paraId="2F926C3D" w14:textId="77777777" w:rsidTr="00647240">
        <w:trPr>
          <w:gridAfter w:val="4"/>
          <w:wAfter w:w="4716" w:type="pct"/>
          <w:trHeight w:val="436"/>
        </w:trPr>
        <w:tc>
          <w:tcPr>
            <w:tcW w:w="284" w:type="pct"/>
            <w:vMerge/>
          </w:tcPr>
          <w:p w14:paraId="4FF61BB9"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r>
    </w:tbl>
    <w:p w14:paraId="1F4F2672"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3A82A56D"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2. Технічні та якісні характеристики повинні відповідати вимогам і стандартам відповідних чинних нормативних документів.</w:t>
      </w:r>
    </w:p>
    <w:p w14:paraId="41112169"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3.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w:t>
      </w:r>
    </w:p>
    <w:p w14:paraId="493B98AE"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0E5D1565"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pacing w:val="-2"/>
          <w:sz w:val="24"/>
          <w:szCs w:val="24"/>
        </w:rPr>
        <w:t>5.  Гарантійні зобов’язання (всіх найменувань) повинні бути не менше строків, визначених</w:t>
      </w:r>
      <w:r w:rsidRPr="00954D0D">
        <w:rPr>
          <w:rFonts w:ascii="Times New Roman" w:hAnsi="Times New Roman" w:cs="Times New Roman"/>
          <w:color w:val="000000" w:themeColor="text1"/>
          <w:sz w:val="24"/>
          <w:szCs w:val="24"/>
        </w:rPr>
        <w:t xml:space="preserve"> технічними умовами виробника цих товарів. Учасник має забезпечити обслуговування (підтримку) протягом гарантійного терміну.</w:t>
      </w:r>
    </w:p>
    <w:p w14:paraId="240A706D"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lang w:eastAsia="uk-UA"/>
        </w:rPr>
      </w:pPr>
      <w:r w:rsidRPr="00954D0D">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954D0D">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F87C9EF" w14:textId="77777777" w:rsidR="00954D0D" w:rsidRPr="00954D0D" w:rsidRDefault="00954D0D" w:rsidP="00954D0D">
      <w:pPr>
        <w:spacing w:after="0" w:line="240" w:lineRule="auto"/>
        <w:ind w:left="14" w:firstLine="538"/>
        <w:jc w:val="both"/>
        <w:rPr>
          <w:rFonts w:ascii="Times New Roman" w:hAnsi="Times New Roman" w:cs="Times New Roman"/>
          <w:color w:val="000000" w:themeColor="text1"/>
          <w:sz w:val="24"/>
          <w:szCs w:val="24"/>
          <w:lang w:eastAsia="ar-SA"/>
        </w:rPr>
      </w:pPr>
      <w:r w:rsidRPr="00954D0D">
        <w:rPr>
          <w:rFonts w:ascii="Times New Roman" w:hAnsi="Times New Roman" w:cs="Times New Roman"/>
          <w:color w:val="000000" w:themeColor="text1"/>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наведеною формою.</w:t>
      </w:r>
    </w:p>
    <w:p w14:paraId="575AA27A" w14:textId="77777777" w:rsidR="00954D0D" w:rsidRPr="00954D0D" w:rsidRDefault="00954D0D" w:rsidP="00954D0D">
      <w:pPr>
        <w:spacing w:after="0" w:line="240" w:lineRule="auto"/>
        <w:ind w:firstLine="567"/>
        <w:jc w:val="both"/>
        <w:rPr>
          <w:rFonts w:ascii="Times New Roman" w:hAnsi="Times New Roman" w:cs="Times New Roman"/>
          <w:bCs/>
          <w:i/>
          <w:iCs/>
          <w:color w:val="000000" w:themeColor="text1"/>
          <w:sz w:val="24"/>
          <w:szCs w:val="24"/>
        </w:rPr>
      </w:pPr>
    </w:p>
    <w:p w14:paraId="4B17F531" w14:textId="77777777" w:rsidR="00954D0D" w:rsidRPr="00954D0D" w:rsidRDefault="00954D0D" w:rsidP="00954D0D">
      <w:pPr>
        <w:suppressAutoHyphens/>
        <w:spacing w:after="0" w:line="240" w:lineRule="auto"/>
        <w:ind w:firstLine="567"/>
        <w:jc w:val="center"/>
        <w:rPr>
          <w:rFonts w:ascii="Times New Roman" w:hAnsi="Times New Roman" w:cs="Times New Roman"/>
          <w:b/>
          <w:bCs/>
          <w:color w:val="000000" w:themeColor="text1"/>
          <w:sz w:val="24"/>
          <w:szCs w:val="24"/>
        </w:rPr>
      </w:pPr>
      <w:r w:rsidRPr="00954D0D">
        <w:rPr>
          <w:rFonts w:ascii="Times New Roman" w:hAnsi="Times New Roman" w:cs="Times New Roman"/>
          <w:b/>
          <w:bCs/>
          <w:color w:val="000000" w:themeColor="text1"/>
          <w:sz w:val="24"/>
          <w:szCs w:val="24"/>
        </w:rPr>
        <w:t>Таблиця відповідності</w:t>
      </w:r>
    </w:p>
    <w:p w14:paraId="71262E97" w14:textId="77777777" w:rsidR="00954D0D" w:rsidRPr="00954D0D" w:rsidRDefault="00954D0D" w:rsidP="00954D0D">
      <w:pPr>
        <w:suppressAutoHyphens/>
        <w:spacing w:after="0" w:line="240" w:lineRule="auto"/>
        <w:ind w:firstLine="567"/>
        <w:jc w:val="both"/>
        <w:rPr>
          <w:rFonts w:ascii="Times New Roman" w:hAnsi="Times New Roman" w:cs="Times New Roman"/>
          <w:color w:val="000000" w:themeColor="text1"/>
          <w:sz w:val="24"/>
          <w:szCs w:val="24"/>
        </w:rPr>
      </w:pPr>
    </w:p>
    <w:tbl>
      <w:tblPr>
        <w:tblpPr w:leftFromText="180" w:rightFromText="180" w:bottomFromText="160" w:vertAnchor="text" w:horzAnchor="margin" w:tblpY="-6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3119"/>
        <w:gridCol w:w="3118"/>
      </w:tblGrid>
      <w:tr w:rsidR="00954D0D" w:rsidRPr="00954D0D" w14:paraId="74CF29E2" w14:textId="77777777" w:rsidTr="00647240">
        <w:tc>
          <w:tcPr>
            <w:tcW w:w="562" w:type="dxa"/>
            <w:tcBorders>
              <w:top w:val="single" w:sz="4" w:space="0" w:color="auto"/>
              <w:left w:val="single" w:sz="4" w:space="0" w:color="auto"/>
              <w:bottom w:val="single" w:sz="4" w:space="0" w:color="auto"/>
              <w:right w:val="single" w:sz="4" w:space="0" w:color="auto"/>
            </w:tcBorders>
            <w:vAlign w:val="center"/>
            <w:hideMark/>
          </w:tcPr>
          <w:p w14:paraId="60D6563B" w14:textId="77777777" w:rsidR="00954D0D" w:rsidRPr="00954D0D" w:rsidRDefault="00954D0D" w:rsidP="00954D0D">
            <w:pPr>
              <w:suppressAutoHyphens/>
              <w:spacing w:after="0" w:line="240" w:lineRule="auto"/>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 з/п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B70D8C" w14:textId="77777777" w:rsidR="00954D0D" w:rsidRPr="00954D0D" w:rsidRDefault="00954D0D" w:rsidP="00954D0D">
            <w:pPr>
              <w:suppressAutoHyphens/>
              <w:spacing w:after="0" w:line="240" w:lineRule="auto"/>
              <w:ind w:firstLine="567"/>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Характеристика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8F6DDB" w14:textId="77777777" w:rsidR="00954D0D" w:rsidRPr="00954D0D" w:rsidRDefault="00954D0D" w:rsidP="00954D0D">
            <w:pPr>
              <w:suppressAutoHyphens/>
              <w:spacing w:after="0" w:line="240" w:lineRule="auto"/>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Опис технічних вимог, які визначені Замовником</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F7634A9" w14:textId="77777777" w:rsidR="00954D0D" w:rsidRPr="00954D0D" w:rsidRDefault="00954D0D" w:rsidP="00954D0D">
            <w:pPr>
              <w:suppressAutoHyphens/>
              <w:spacing w:after="0" w:line="240" w:lineRule="auto"/>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Опис технічних вимог, які  пропонуються Учасником</w:t>
            </w:r>
          </w:p>
        </w:tc>
      </w:tr>
    </w:tbl>
    <w:p w14:paraId="4A86B1EC"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Товар повинен відповідати вимогам:</w:t>
      </w:r>
    </w:p>
    <w:p w14:paraId="2C647716"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Закону України від 14 серпня 2014 року № 1644-VІІ «Про санкції»;</w:t>
      </w:r>
    </w:p>
    <w:p w14:paraId="2539645B"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5CBB6F9"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133745FA"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A84414A" w14:textId="77777777" w:rsidR="00954D0D" w:rsidRPr="00954D0D" w:rsidRDefault="00954D0D" w:rsidP="00954D0D">
      <w:pPr>
        <w:spacing w:after="0" w:line="240" w:lineRule="auto"/>
        <w:rPr>
          <w:rFonts w:ascii="Times New Roman" w:hAnsi="Times New Roman" w:cs="Times New Roman"/>
          <w:color w:val="000000" w:themeColor="text1"/>
          <w:sz w:val="24"/>
          <w:szCs w:val="24"/>
        </w:rPr>
      </w:pPr>
    </w:p>
    <w:p w14:paraId="4EC999EF" w14:textId="77777777" w:rsidR="00954D0D" w:rsidRPr="00954D0D" w:rsidRDefault="00954D0D" w:rsidP="00954D0D">
      <w:pPr>
        <w:spacing w:after="0" w:line="240" w:lineRule="auto"/>
        <w:ind w:firstLine="567"/>
        <w:jc w:val="both"/>
        <w:rPr>
          <w:rFonts w:ascii="Times New Roman" w:hAnsi="Times New Roman" w:cs="Times New Roman"/>
          <w:i/>
          <w:color w:val="000000" w:themeColor="text1"/>
          <w:sz w:val="24"/>
          <w:szCs w:val="24"/>
        </w:rPr>
      </w:pPr>
      <w:r w:rsidRPr="00954D0D">
        <w:rPr>
          <w:rFonts w:ascii="Times New Roman" w:hAnsi="Times New Roman" w:cs="Times New Roman"/>
          <w:i/>
          <w:color w:val="000000" w:themeColor="text1"/>
          <w:sz w:val="24"/>
          <w:szCs w:val="24"/>
        </w:rPr>
        <w:lastRenderedPageBreak/>
        <w:t>У разі, якщо у цій тендерній документації (у тому числі у технічній специфікації) міститься посилання на:</w:t>
      </w:r>
    </w:p>
    <w:p w14:paraId="27234ECD" w14:textId="77777777" w:rsidR="00954D0D" w:rsidRPr="00954D0D" w:rsidRDefault="00954D0D" w:rsidP="00954D0D">
      <w:pPr>
        <w:spacing w:after="0" w:line="240" w:lineRule="auto"/>
        <w:ind w:firstLine="567"/>
        <w:jc w:val="both"/>
        <w:rPr>
          <w:rFonts w:ascii="Times New Roman" w:hAnsi="Times New Roman" w:cs="Times New Roman"/>
          <w:i/>
          <w:color w:val="000000" w:themeColor="text1"/>
          <w:sz w:val="24"/>
          <w:szCs w:val="24"/>
        </w:rPr>
      </w:pPr>
      <w:r w:rsidRPr="00954D0D">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092D44F" w14:textId="77777777" w:rsidR="00954D0D" w:rsidRPr="00954D0D" w:rsidRDefault="00954D0D" w:rsidP="00954D0D">
      <w:pPr>
        <w:spacing w:after="0" w:line="240" w:lineRule="auto"/>
        <w:ind w:firstLine="567"/>
        <w:jc w:val="both"/>
        <w:rPr>
          <w:rFonts w:ascii="Times New Roman" w:hAnsi="Times New Roman" w:cs="Times New Roman"/>
          <w:i/>
          <w:color w:val="000000" w:themeColor="text1"/>
          <w:sz w:val="24"/>
          <w:szCs w:val="24"/>
        </w:rPr>
      </w:pPr>
      <w:r w:rsidRPr="00954D0D">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BE79943" w14:textId="77777777" w:rsidR="00954D0D" w:rsidRPr="00954D0D" w:rsidRDefault="00954D0D" w:rsidP="00954D0D">
      <w:pPr>
        <w:spacing w:after="0" w:line="240" w:lineRule="auto"/>
        <w:ind w:firstLine="567"/>
        <w:jc w:val="both"/>
        <w:rPr>
          <w:rFonts w:ascii="Times New Roman" w:hAnsi="Times New Roman" w:cs="Times New Roman"/>
          <w:bCs/>
          <w:i/>
          <w:iCs/>
          <w:color w:val="000000" w:themeColor="text1"/>
          <w:sz w:val="24"/>
          <w:szCs w:val="24"/>
        </w:rPr>
      </w:pPr>
      <w:r w:rsidRPr="00954D0D">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7D7000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54D0D">
        <w:rPr>
          <w:rFonts w:ascii="Times New Roman" w:eastAsia="Times New Roman" w:hAnsi="Times New Roman" w:cs="Times New Roman"/>
          <w:sz w:val="24"/>
          <w:szCs w:val="24"/>
          <w:lang w:eastAsia="ru-RU"/>
        </w:rPr>
        <w:t>114 522</w:t>
      </w:r>
      <w:r w:rsidR="00CD259C">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54D0D">
        <w:rPr>
          <w:rFonts w:ascii="Times New Roman" w:eastAsia="Times New Roman" w:hAnsi="Times New Roman" w:cs="Times New Roman"/>
          <w:sz w:val="24"/>
          <w:szCs w:val="24"/>
          <w:lang w:eastAsia="ru-RU"/>
        </w:rPr>
        <w:t>сто чотирнадцять тисяч п’ятсот двадцять дві</w:t>
      </w:r>
      <w:r w:rsidR="001D46A6">
        <w:rPr>
          <w:rFonts w:ascii="Times New Roman" w:eastAsia="Times New Roman" w:hAnsi="Times New Roman" w:cs="Times New Roman"/>
          <w:sz w:val="24"/>
          <w:szCs w:val="24"/>
          <w:lang w:eastAsia="ru-RU"/>
        </w:rPr>
        <w:t xml:space="preserve"> грив</w:t>
      </w:r>
      <w:r w:rsidR="00954D0D">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CD259C">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617E04BF"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4"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36DC4ED1"/>
    <w:multiLevelType w:val="hybridMultilevel"/>
    <w:tmpl w:val="D0EEB9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14D75EF"/>
    <w:multiLevelType w:val="hybridMultilevel"/>
    <w:tmpl w:val="81028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2"/>
  </w:num>
  <w:num w:numId="2" w16cid:durableId="1729961447">
    <w:abstractNumId w:val="19"/>
  </w:num>
  <w:num w:numId="3" w16cid:durableId="556090777">
    <w:abstractNumId w:val="14"/>
  </w:num>
  <w:num w:numId="4" w16cid:durableId="1865628638">
    <w:abstractNumId w:val="18"/>
  </w:num>
  <w:num w:numId="5" w16cid:durableId="522862248">
    <w:abstractNumId w:val="21"/>
  </w:num>
  <w:num w:numId="6" w16cid:durableId="1128400551">
    <w:abstractNumId w:val="10"/>
  </w:num>
  <w:num w:numId="7" w16cid:durableId="1549879148">
    <w:abstractNumId w:val="16"/>
  </w:num>
  <w:num w:numId="8" w16cid:durableId="537087471">
    <w:abstractNumId w:val="20"/>
  </w:num>
  <w:num w:numId="9" w16cid:durableId="632519650">
    <w:abstractNumId w:val="26"/>
  </w:num>
  <w:num w:numId="10" w16cid:durableId="713892545">
    <w:abstractNumId w:val="23"/>
  </w:num>
  <w:num w:numId="11" w16cid:durableId="2031645203">
    <w:abstractNumId w:val="9"/>
  </w:num>
  <w:num w:numId="12" w16cid:durableId="1392928292">
    <w:abstractNumId w:val="13"/>
  </w:num>
  <w:num w:numId="13" w16cid:durableId="502626488">
    <w:abstractNumId w:val="24"/>
  </w:num>
  <w:num w:numId="14" w16cid:durableId="1996909732">
    <w:abstractNumId w:val="22"/>
  </w:num>
  <w:num w:numId="15" w16cid:durableId="2090689452">
    <w:abstractNumId w:val="11"/>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7"/>
  </w:num>
  <w:num w:numId="24" w16cid:durableId="1117216616">
    <w:abstractNumId w:val="6"/>
  </w:num>
  <w:num w:numId="25" w16cid:durableId="658388064">
    <w:abstractNumId w:val="7"/>
  </w:num>
  <w:num w:numId="26" w16cid:durableId="426197680">
    <w:abstractNumId w:val="25"/>
  </w:num>
  <w:num w:numId="27" w16cid:durableId="126511622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46016"/>
    <w:rsid w:val="002924C8"/>
    <w:rsid w:val="00295ECA"/>
    <w:rsid w:val="002D01D5"/>
    <w:rsid w:val="002D4BAA"/>
    <w:rsid w:val="00317AB4"/>
    <w:rsid w:val="00330018"/>
    <w:rsid w:val="00362DEB"/>
    <w:rsid w:val="00372714"/>
    <w:rsid w:val="003819AD"/>
    <w:rsid w:val="00381FCE"/>
    <w:rsid w:val="0040274C"/>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54D0D"/>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39CC"/>
    <w:rsid w:val="00B2511F"/>
    <w:rsid w:val="00B50719"/>
    <w:rsid w:val="00B56048"/>
    <w:rsid w:val="00B873C2"/>
    <w:rsid w:val="00B87ECB"/>
    <w:rsid w:val="00BA2C84"/>
    <w:rsid w:val="00BA612B"/>
    <w:rsid w:val="00BD1F30"/>
    <w:rsid w:val="00BE44D5"/>
    <w:rsid w:val="00BE5D0B"/>
    <w:rsid w:val="00C16987"/>
    <w:rsid w:val="00C65313"/>
    <w:rsid w:val="00C66F3C"/>
    <w:rsid w:val="00C771BA"/>
    <w:rsid w:val="00C92558"/>
    <w:rsid w:val="00CC015E"/>
    <w:rsid w:val="00CC0C05"/>
    <w:rsid w:val="00CD0EC0"/>
    <w:rsid w:val="00CD210E"/>
    <w:rsid w:val="00CD259C"/>
    <w:rsid w:val="00CD40DE"/>
    <w:rsid w:val="00CF3AD3"/>
    <w:rsid w:val="00CF3B29"/>
    <w:rsid w:val="00D07938"/>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1801</Words>
  <Characters>13079</Characters>
  <Application>Microsoft Office Word</Application>
  <DocSecurity>0</DocSecurity>
  <Lines>335</Lines>
  <Paragraphs>130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2025-11-14T14:25:00Z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