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8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багатофункціональних пристроїв та </w:t>
      </w:r>
      <w:r>
        <w:rPr>
          <w:b w:val="0"/>
          <w:bCs w:val="0"/>
          <w:sz w:val="24"/>
          <w:szCs w:val="24"/>
        </w:rPr>
        <w:t xml:space="preserve">плотера</w:t>
      </w:r>
      <w:r>
        <w:rPr>
          <w:b w:val="0"/>
          <w:bCs w:val="0"/>
          <w:sz w:val="24"/>
          <w:szCs w:val="24"/>
        </w:rPr>
        <w:t xml:space="preserve"> за кодом CPV за ЄЗС ДК 021:2015: 30230000-0 Комп’ютерне обладнання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014551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Закупівля багатофункціональних пристроїв та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плотера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94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96"/>
              <w:jc w:val="center"/>
              <w:rPr>
                <w:rFonts w:eastAsia="Times New Roman"/>
                <w:b/>
                <w:bCs/>
                <w:lang w:val="ru-RU"/>
              </w:rPr>
            </w:pPr>
            <w:r>
              <w:rPr>
                <w:rFonts w:eastAsia="Times New Roman"/>
                <w:b/>
                <w:bCs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Назва 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696"/>
              <w:jc w:val="both"/>
              <w:rPr>
                <w:rFonts w:eastAsia="Times New Roman"/>
                <w:b/>
              </w:rPr>
            </w:pPr>
            <w:r>
              <w:rPr>
                <w:rStyle w:val="720"/>
                <w:rFonts w:eastAsia="Times New Roman"/>
                <w:b/>
                <w:bCs/>
                <w:shd w:val="clear" w:color="auto" w:fill="ffffff"/>
              </w:rPr>
              <w:t xml:space="preserve">Принтер (</w:t>
            </w:r>
            <w:r>
              <w:rPr>
                <w:rStyle w:val="720"/>
                <w:rFonts w:eastAsia="Times New Roman"/>
                <w:b/>
                <w:bCs/>
                <w:shd w:val="clear" w:color="auto" w:fill="ffffff"/>
              </w:rPr>
              <w:t xml:space="preserve">плотер</w:t>
            </w:r>
            <w:r>
              <w:rPr>
                <w:rStyle w:val="720"/>
                <w:rFonts w:eastAsia="Times New Roman"/>
                <w:b/>
                <w:bCs/>
                <w:shd w:val="clear" w:color="auto" w:fill="ffffff"/>
              </w:rPr>
              <w:t xml:space="preserve">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696"/>
              <w:jc w:val="both"/>
              <w:rPr>
                <w:rFonts w:eastAsia="Times New Roman"/>
                <w:b/>
                <w:bCs/>
              </w:rPr>
            </w:pPr>
            <w:r>
              <w:rPr>
                <w:rStyle w:val="720"/>
                <w:rFonts w:eastAsia="Times New Roman"/>
                <w:b/>
                <w:bCs/>
                <w:shd w:val="clear" w:color="auto" w:fill="ffffff"/>
              </w:rPr>
              <w:t xml:space="preserve">Принтер (БПФ, кольоровий)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6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696"/>
              <w:jc w:val="both"/>
              <w:rPr>
                <w:rFonts w:eastAsia="Times New Roman"/>
                <w:b/>
                <w:bCs/>
              </w:rPr>
            </w:pPr>
            <w:r>
              <w:rPr>
                <w:rStyle w:val="720"/>
                <w:rFonts w:eastAsia="Times New Roman"/>
                <w:b/>
                <w:bCs/>
                <w:shd w:val="clear" w:color="auto" w:fill="ffffff"/>
              </w:rPr>
              <w:t xml:space="preserve">Принтер (БПФ, А4, кольоровий)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6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696"/>
              <w:jc w:val="both"/>
              <w:rPr>
                <w:rFonts w:eastAsia="Times New Roman"/>
                <w:b/>
                <w:bCs/>
              </w:rPr>
            </w:pPr>
            <w:r>
              <w:rPr>
                <w:rStyle w:val="720"/>
                <w:rFonts w:eastAsia="Times New Roman"/>
                <w:b/>
                <w:bCs/>
                <w:shd w:val="clear" w:color="auto" w:fill="ffffff"/>
              </w:rPr>
              <w:t xml:space="preserve">Принтер (БПФ, чорно-білий)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6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6</w:t>
            </w:r>
            <w:r/>
          </w:p>
        </w:tc>
      </w:tr>
    </w:tbl>
    <w:p>
      <w:pPr>
        <w:pStyle w:val="696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696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eastAsia="Times New Roman"/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eastAsia="Times New Roman"/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eastAsia="Times New Roman"/>
          <w:b/>
          <w:bCs/>
          <w:i/>
          <w:iCs/>
          <w:lang w:eastAsia="ru-RU"/>
        </w:rPr>
        <w:t xml:space="preserve">проєкту</w:t>
      </w:r>
      <w:r>
        <w:rPr>
          <w:rFonts w:eastAsia="Times New Roman"/>
          <w:b/>
          <w:bCs/>
          <w:i/>
          <w:iCs/>
          <w:lang w:eastAsia="ru-RU"/>
        </w:rPr>
        <w:t xml:space="preserve"> Договору до моменту його повного завершення</w:t>
      </w:r>
      <w:r>
        <w:rPr>
          <w:rFonts w:eastAsia="Times New Roman"/>
          <w:b/>
          <w:bCs/>
          <w:i/>
          <w:iCs/>
          <w:lang w:eastAsia="uk-UA"/>
        </w:rPr>
        <w:t xml:space="preserve">.</w:t>
      </w:r>
      <w:r/>
    </w:p>
    <w:p>
      <w:pPr>
        <w:pStyle w:val="696"/>
        <w:ind w:firstLine="567"/>
        <w:jc w:val="both"/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/>
      <w:bookmarkStart w:id="1" w:name="_Hlk131598067"/>
      <w:r>
        <w:rPr>
          <w:rFonts w:eastAsia="Times New Roman"/>
          <w:color w:val="000000" w:themeColor="text1"/>
          <w:shd w:val="clear" w:color="auto" w:fill="ffffff"/>
          <w:lang w:eastAsia="uk-UA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2" w:name="_Hlk131682113"/>
      <w:r/>
      <w:bookmarkEnd w:id="1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92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Гарантійні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зобов’язання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всіх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найменувань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повинні</w:t>
      </w:r>
      <w:r>
        <w:rPr>
          <w:rFonts w:ascii="Times New Roman" w:hAnsi="Times New Roman" w:cs="Times New Roman"/>
          <w:sz w:val="24"/>
          <w:szCs w:val="24"/>
        </w:rPr>
        <w:t xml:space="preserve"> бути не </w:t>
      </w:r>
      <w:r>
        <w:rPr>
          <w:rFonts w:ascii="Times New Roman" w:hAnsi="Times New Roman" w:cs="Times New Roman"/>
          <w:sz w:val="24"/>
          <w:szCs w:val="24"/>
        </w:rPr>
        <w:t xml:space="preserve">менше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строків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визначених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складати не менше 12 ти місяців з дати підписання видаткової накладної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Постачальник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забезпечити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обслуговування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підтримку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протягом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гарантійного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терміну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(надати гарантійний лист).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 Товар повинен бути офіційно ввезений на територію України та мати відповідні документи (надати гарантійний лист).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</w:r>
      <w:r/>
    </w:p>
    <w:p>
      <w:pPr>
        <w:pStyle w:val="696"/>
        <w:ind w:firstLine="567"/>
        <w:jc w:val="center"/>
        <w:spacing w:after="0" w:line="240" w:lineRule="auto"/>
        <w:rPr>
          <w:rStyle w:val="718"/>
          <w:b/>
          <w:lang w:eastAsia="ru-RU"/>
        </w:rPr>
      </w:pPr>
      <w:r>
        <w:rPr>
          <w:rStyle w:val="718"/>
          <w:b/>
          <w:bCs/>
          <w:lang w:eastAsia="ru-RU"/>
        </w:rPr>
        <w:t xml:space="preserve">СПЕЦИФІКАЦІЯ</w:t>
      </w:r>
      <w:bookmarkEnd w:id="0"/>
      <w:r/>
    </w:p>
    <w:tbl>
      <w:tblPr>
        <w:tblpPr w:horzAnchor="margin" w:tblpXSpec="center" w:vertAnchor="page" w:tblpY="647" w:leftFromText="180" w:topFromText="0" w:rightFromText="180" w:bottomFromText="160"/>
        <w:tblW w:w="105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"/>
        <w:gridCol w:w="1581"/>
        <w:gridCol w:w="3049"/>
        <w:gridCol w:w="4625"/>
        <w:gridCol w:w="877"/>
      </w:tblGrid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1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Плотер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Тип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Плоттер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Технологія друку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Струменева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Палітра друку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Кольорова (5 кольорів)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Максимальний формат друку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менше ніж A1, 24 дюйми або 610 мм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Швидкість друку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гірше 0,24 хв. (Швидкий економний режим) - 0,42 хв. (Стандартний режим)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Максимальна роздільна здатність,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dpi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менше 2400x1200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Конфігурація картриджів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Чорний, матовий чорний, блакитний, пурпурний, жовтий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Розмір краплі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більше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піколітрів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Точність нанесення ліній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більше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±0,1 %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Витратні матеріали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Чорнильниці ємністю не менше 90 мл чорний та 130 мл кольорові в комплекті та підтримка до 300 мл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2 ГБ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Інтерфейс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USB 2.0, Ethernet 10/100/1000 Base-T/TX,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Бездротова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локальна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мережа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IEEE802.11n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Підтримувані операційні 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Windows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Максимальна/мінімальна ширина листів або паперу з рулону, мм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610 / 203,2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Максимальна товщина листів або паперу з рулону, мм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0,07-0,8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Мови керування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SG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Raster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Swift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Graphic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Raster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), HP-GL / 2, HP RTL, JPEG (версія JFIF 1.02)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Пам'ять (буфер прийому даних), MБ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2048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РК-дисплей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гірше 3-дюймовий сенсорний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Споживана потужність (друк/очікування), Вт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гірше 69 / 3,6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Розміри, мм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більше 982 x 887 x 1060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Вага, кг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більше 52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Гарантія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ніж 12 міс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1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(БФП, кольоровий)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апарата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Багатофункціональний кольоровий лазерний пристрій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Функціонал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Друк, копіювання, сканування, надсилання, зберігання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Наявність ємнісного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дісплею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Так, обов’язково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Діагональ не менше ніж 10,1 дюйм,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Україномовне меню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Формат друку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SRA3, А3, А4, А5, A6R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Швидкість друку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ніж 35 сторінок за хвилину формату А4, А5, А6R у чорно-білому і кольоровому режимах та 17 сторінок за хвилину формату А3 у чорно-білому і кольоровому режимах.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Дуплекс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двусторонній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друк (дуплекс)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Роздільна здатність друку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ніж 1200´1200 точок на дюйм.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Мова опису сторінки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PCL 6, Adobe PostScript Level 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Тривалість прогрівання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більше 12 секунд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ніж 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SSD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ніж 256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Подача паперу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ніж 2 внутрішніх та 1 зовнішній вхідний лоток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Ємність внутрішніх вхідних лотків - не менше ніж 1100 аркушів;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Ємність обхідного лотка – не менше 100 аркушів;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Ємність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автоподовача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не менше ніж 100 аркушів;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паперу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А5, А4, А3 щільністю 52 – 300 г/м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Сканування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Швидкість сканування не менше ніж 70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/хв. (при 300 DPI)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Сканування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email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Сканування в мережеві папки та на зовнішні USB-носії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Сканування на мобільні телефони або пристрої, підключені до Інтернету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Сканування в хмарні служби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Сканування в формати TIFF, JPEG, PDF (компактний, з можливістю пошуку, застосування політики, оптимізований для використання в Інтернеті, PDF A/1-b), XPS (компактний, з можливістю пошуку), Office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XML (PowerPoint, Word)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Інтерфейс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1000Base-T/100Base-TX/10Base-T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USB 3.0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Витратні матеріали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Тонери для друку: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Чорний: достатньо для 38 000 відбитків (5% покриття, А4) у комплекті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Кольоровий: достатньо для 25 000 відбитків (5% покриття, А4) кожного кольору (CMY) у комплекті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Усі тонери мають бути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оригинального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виробнитства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Фотобарабани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 ніж 74 000 відбитків, у комплекті, на кожний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кольор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(CMYK).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фотобарабани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мають бути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оигінального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виробнитства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мати єдиний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партномер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незалежності від кольору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встановлення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Підлогове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Програмне забезпечення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Так, обов’язково, україномовне меню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Програмне забезпечення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Авторизація користувача на пристрої за допомогою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-коду/картки/логіну-паролю;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Налаштування правил друку/копіювання/сканування з можливістю заблокувати функції друку/копіювання/сканування для користувача/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відділа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/групи відділів;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Гарантія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ніж 12 міс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1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(БФП, А4, кольоровий)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апарата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Кольоровий лазерний багатофункціональний пристрій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Функціонал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Друк, копіювання, сканування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Наявність кольорового сенсорного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дісплею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Так, обов’язково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Діагональ не менше ніж 5 дюймів, україномовне меню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Формат друку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А4, А5, A6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Швидкість друку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ніж 33 сторінок за хвилину формату А4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Швидкість двостороннього друку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ніж 29 сторінок за хвилину формату А4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Дуплекс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Автоматичний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двусторонній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друк (дуплекс)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Роздільна здатність друку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ніж 1200х1200 точок на дюйм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Роздільна здатність сканування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ніж 9600х9600 точок на дюйм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Мова опису сторінки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PCL 6,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Adobe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PostScript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Level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ніж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 виходу першої копії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більше 10 секунд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Подача паперу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Загальна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емність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внутрішніх лотків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подачи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паперу не менше 250 аркушів А4 80 г/м2;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Ємність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автоподовача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не менше ніж 50 аркушів А4 80 г/м2;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паперу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А4, А5, А6 щільністю 60–176 г/м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Сканування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Швидкість двостороннього сканування А4 при 300 DPI: не менше ніж 100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/хв.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режим) та не менше ніж 80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зобр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/хв.(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кольор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режим)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Сканування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email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/SMB/FTP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Сканування в мережеві папки та на зовнішні USB-носії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Інтерфейс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1000Base-T/100Base-TX/10Base-T,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безпроводова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локальна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мережа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(IEEE 802.11 b/g/n), USB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Витратні матеріали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Оригінальні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картриджи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від виробника запропонованого БФП: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Чорний: не менш ніж 7 300 аркушів (5% покриття, А4) у комплекті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Кольорові: не менш ніж 5 200 аркушів (5% покриття, А4) кожного кольору (CMY) у комплекті.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Програмне забезпечення(україномовне меню)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Авторизація користувача на пристрої за допомогою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-коду/картки/логіну-паролю;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Налаштування правил друку/копіювання/сканування з можливістю заблокувати функції друку/копіювання/сканування для користувача/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відділа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/групи відділів;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Гарантія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ніж 12 міс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81" w:type="dxa"/>
            <w:vAlign w:val="center"/>
            <w:vMerge w:val="restart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Принтер (БФП, чорно-білий)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Тип: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Багатофункціональний пристрій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</w:t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Технологія і палітра друку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Лазерна чорно-біла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Формат паперу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менше А4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Роздільна здатність друку,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dpi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гірше 1200х1200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Швидкість чорно-білого друку,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стор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./хв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менше 38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Вихід першої чорно-білої сторінки,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сек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більше 5,5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Максимальний обсяг друку,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стор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./міс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менше 80000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Дуплекс 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Так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Щільність паперу, г/м2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гірше 50-163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Ресурс чорного картриджа,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стор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менше 3100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Тип сканера 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планшетний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Роздільна здатність сканера,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dpi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гірше 600х600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Швидкість чорно-білого копіювання,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стор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/ хв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менше 38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Автоподавач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оригіналів 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Так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Масштабування,% 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гірше 25 - 400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USB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Так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Друк з USB-накопичувачів 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Так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Друк з мобільних пристроїв 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Так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Wi-Fi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Так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Ethernet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Так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РК-дисплей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Так (5 ", кольоровий, сенсорний)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Ємність подачі,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стор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менше 350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Ємність прийому,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стор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менше 150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Розміри, мм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більше453x464x392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Вага, кг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більше 17,2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Енергоспоживання, Вт (максимум/очікування)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не гірше 1370/9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  <w:tr>
        <w:trPr>
          <w:trHeight w:val="5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8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Гарантія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менше ніж 12 міс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/>
              </w:rPr>
            </w:r>
            <w:r/>
          </w:p>
        </w:tc>
      </w:tr>
    </w:tbl>
    <w:p>
      <w:pPr>
        <w:pStyle w:val="719"/>
        <w:ind w:left="0"/>
        <w:spacing w:line="240" w:lineRule="auto"/>
        <w:tabs>
          <w:tab w:val="left" w:pos="993" w:leader="none"/>
        </w:tabs>
        <w:rPr>
          <w:b/>
          <w:bCs/>
        </w:rPr>
      </w:pPr>
      <w:r>
        <w:rPr>
          <w:b/>
          <w:bCs/>
        </w:rPr>
      </w:r>
      <w:r/>
    </w:p>
    <w:p>
      <w:pPr>
        <w:pStyle w:val="719"/>
        <w:numPr>
          <w:ilvl w:val="0"/>
          <w:numId w:val="21"/>
        </w:numPr>
        <w:ind w:left="0" w:firstLine="709"/>
        <w:spacing w:line="240" w:lineRule="auto"/>
        <w:tabs>
          <w:tab w:val="left" w:pos="993" w:leader="none"/>
        </w:tabs>
      </w:pPr>
      <w:r>
        <w:t xml:space="preserve">Товар повинен бути новим та не відновленим, таким що не використовувався раніше. </w:t>
      </w:r>
      <w:r>
        <w:rPr>
          <w:b/>
          <w:i/>
        </w:rPr>
        <w:t xml:space="preserve">(Надати учасником гарантійний лист)</w:t>
      </w:r>
      <w:r>
        <w:rPr>
          <w:color w:val="000000"/>
        </w:rPr>
        <w:t xml:space="preserve">.</w:t>
      </w:r>
      <w:r/>
    </w:p>
    <w:p>
      <w:pPr>
        <w:pStyle w:val="692"/>
        <w:numPr>
          <w:ilvl w:val="0"/>
          <w:numId w:val="22"/>
        </w:numPr>
        <w:ind w:left="0" w:firstLine="709"/>
        <w:jc w:val="both"/>
        <w:spacing w:after="0" w:line="240" w:lineRule="auto"/>
        <w:widowControl w:val="off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складі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своєї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пропозиції</w:t>
      </w:r>
      <w:r>
        <w:rPr>
          <w:rFonts w:ascii="Times New Roman" w:hAnsi="Times New Roman" w:cs="Times New Roman"/>
          <w:sz w:val="24"/>
          <w:szCs w:val="24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довідку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формі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таблиці-порівняння</w:t>
      </w:r>
      <w:r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 xml:space="preserve">інформацією</w:t>
      </w:r>
      <w:r>
        <w:rPr>
          <w:rFonts w:ascii="Times New Roman" w:hAnsi="Times New Roman" w:cs="Times New Roman"/>
          <w:sz w:val="24"/>
          <w:szCs w:val="24"/>
        </w:rPr>
        <w:t xml:space="preserve"> про </w:t>
      </w:r>
      <w:r>
        <w:rPr>
          <w:rFonts w:ascii="Times New Roman" w:hAnsi="Times New Roman" w:cs="Times New Roman"/>
          <w:sz w:val="24"/>
          <w:szCs w:val="24"/>
        </w:rPr>
        <w:t xml:space="preserve">технічні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характеристики </w:t>
      </w:r>
      <w:r>
        <w:rPr>
          <w:rFonts w:ascii="Times New Roman" w:hAnsi="Times New Roman" w:cs="Times New Roman"/>
          <w:sz w:val="24"/>
          <w:szCs w:val="24"/>
        </w:rPr>
        <w:t xml:space="preserve">запропонованого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учасником</w:t>
      </w:r>
      <w:r>
        <w:rPr>
          <w:rFonts w:ascii="Times New Roman" w:hAnsi="Times New Roman" w:cs="Times New Roman"/>
          <w:sz w:val="24"/>
          <w:szCs w:val="24"/>
        </w:rPr>
        <w:t xml:space="preserve"> товару </w:t>
      </w:r>
      <w:r>
        <w:rPr>
          <w:rFonts w:ascii="Times New Roman" w:hAnsi="Times New Roman" w:cs="Times New Roman"/>
          <w:sz w:val="24"/>
          <w:szCs w:val="24"/>
        </w:rPr>
        <w:t xml:space="preserve">із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зазначенням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моделі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країни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походження</w:t>
      </w:r>
      <w:r>
        <w:rPr>
          <w:rFonts w:ascii="Times New Roman" w:hAnsi="Times New Roman" w:cs="Times New Roman"/>
          <w:sz w:val="24"/>
          <w:szCs w:val="24"/>
        </w:rPr>
        <w:t xml:space="preserve">, року </w:t>
      </w:r>
      <w:r>
        <w:rPr>
          <w:rFonts w:ascii="Times New Roman" w:hAnsi="Times New Roman" w:cs="Times New Roman"/>
          <w:sz w:val="24"/>
          <w:szCs w:val="24"/>
        </w:rPr>
        <w:t xml:space="preserve">виготовлення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технічних</w:t>
      </w:r>
      <w:r>
        <w:rPr>
          <w:rFonts w:ascii="Times New Roman" w:hAnsi="Times New Roman" w:cs="Times New Roman"/>
          <w:sz w:val="24"/>
          <w:szCs w:val="24"/>
        </w:rPr>
        <w:t xml:space="preserve"> характеристик та </w:t>
      </w:r>
      <w:r>
        <w:rPr>
          <w:rFonts w:ascii="Times New Roman" w:hAnsi="Times New Roman" w:cs="Times New Roman"/>
          <w:sz w:val="24"/>
          <w:szCs w:val="24"/>
        </w:rPr>
        <w:t xml:space="preserve">ознак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його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відповідності</w:t>
      </w:r>
      <w:r>
        <w:rPr>
          <w:rFonts w:ascii="Times New Roman" w:hAnsi="Times New Roman" w:cs="Times New Roman"/>
          <w:sz w:val="24"/>
          <w:szCs w:val="24"/>
        </w:rPr>
        <w:t xml:space="preserve"> (не </w:t>
      </w:r>
      <w:r>
        <w:rPr>
          <w:rFonts w:ascii="Times New Roman" w:hAnsi="Times New Roman" w:cs="Times New Roman"/>
          <w:sz w:val="24"/>
          <w:szCs w:val="24"/>
        </w:rPr>
        <w:t xml:space="preserve">відповідності</w:t>
      </w:r>
      <w:r>
        <w:rPr>
          <w:rFonts w:ascii="Times New Roman" w:hAnsi="Times New Roman" w:cs="Times New Roman"/>
          <w:sz w:val="24"/>
          <w:szCs w:val="24"/>
        </w:rPr>
        <w:t xml:space="preserve">) предмету </w:t>
      </w:r>
      <w:r>
        <w:rPr>
          <w:rFonts w:ascii="Times New Roman" w:hAnsi="Times New Roman" w:cs="Times New Roman"/>
          <w:sz w:val="24"/>
          <w:szCs w:val="24"/>
        </w:rPr>
        <w:t xml:space="preserve">закупівлі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складену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основі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таблиць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специфікації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p>
      <w:pPr>
        <w:pStyle w:val="692"/>
        <w:numPr>
          <w:ilvl w:val="0"/>
          <w:numId w:val="22"/>
        </w:numPr>
        <w:ind w:left="0" w:firstLine="709"/>
        <w:jc w:val="both"/>
        <w:spacing w:after="0" w:line="240" w:lineRule="auto"/>
        <w:widowControl w:val="off"/>
        <w:tabs>
          <w:tab w:val="left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 xml:space="preserve">складі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своєї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пропозиції</w:t>
      </w:r>
      <w:r>
        <w:rPr>
          <w:rFonts w:ascii="Times New Roman" w:hAnsi="Times New Roman" w:cs="Times New Roman"/>
          <w:sz w:val="24"/>
          <w:szCs w:val="24"/>
        </w:rPr>
        <w:t xml:space="preserve"> документ (</w:t>
      </w:r>
      <w:r>
        <w:rPr>
          <w:rFonts w:ascii="Times New Roman" w:hAnsi="Times New Roman" w:cs="Times New Roman"/>
          <w:sz w:val="24"/>
          <w:szCs w:val="24"/>
        </w:rPr>
        <w:t xml:space="preserve">довідка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експертний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висновок</w:t>
      </w:r>
      <w:r>
        <w:rPr>
          <w:rFonts w:ascii="Times New Roman" w:hAnsi="Times New Roman" w:cs="Times New Roman"/>
          <w:sz w:val="24"/>
          <w:szCs w:val="24"/>
        </w:rPr>
        <w:t xml:space="preserve"> Торгово-</w:t>
      </w:r>
      <w:r>
        <w:rPr>
          <w:rFonts w:ascii="Times New Roman" w:hAnsi="Times New Roman" w:cs="Times New Roman"/>
          <w:sz w:val="24"/>
          <w:szCs w:val="24"/>
        </w:rPr>
        <w:t xml:space="preserve">промислової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палати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України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довідка</w:t>
      </w:r>
      <w:r>
        <w:rPr>
          <w:rFonts w:ascii="Times New Roman" w:hAnsi="Times New Roman" w:cs="Times New Roman"/>
          <w:sz w:val="24"/>
          <w:szCs w:val="24"/>
        </w:rPr>
        <w:t xml:space="preserve"> з </w:t>
      </w:r>
      <w:r>
        <w:rPr>
          <w:rFonts w:ascii="Times New Roman" w:hAnsi="Times New Roman" w:cs="Times New Roman"/>
          <w:sz w:val="24"/>
          <w:szCs w:val="24"/>
        </w:rPr>
        <w:t xml:space="preserve">товарної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біржи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 xml:space="preserve">який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підтверджує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ринкову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вартість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товарів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що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пропонуються</w:t>
      </w:r>
      <w:r>
        <w:rPr>
          <w:rFonts w:ascii="Times New Roman" w:hAnsi="Times New Roman" w:cs="Times New Roman"/>
          <w:sz w:val="24"/>
          <w:szCs w:val="24"/>
        </w:rPr>
        <w:t xml:space="preserve">, яка </w:t>
      </w:r>
      <w:r>
        <w:rPr>
          <w:rFonts w:ascii="Times New Roman" w:hAnsi="Times New Roman" w:cs="Times New Roman"/>
          <w:sz w:val="24"/>
          <w:szCs w:val="24"/>
        </w:rPr>
        <w:t xml:space="preserve">відповідає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запропонованій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ціні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одиницю</w:t>
      </w:r>
      <w:r>
        <w:rPr>
          <w:rFonts w:ascii="Times New Roman" w:hAnsi="Times New Roman" w:cs="Times New Roman"/>
          <w:sz w:val="24"/>
          <w:szCs w:val="24"/>
        </w:rPr>
        <w:t xml:space="preserve"> товару (</w:t>
      </w:r>
      <w:r>
        <w:rPr>
          <w:rFonts w:ascii="Times New Roman" w:hAnsi="Times New Roman" w:cs="Times New Roman"/>
          <w:sz w:val="24"/>
          <w:szCs w:val="24"/>
        </w:rPr>
        <w:t xml:space="preserve">рівню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цін</w:t>
      </w:r>
      <w:r>
        <w:rPr>
          <w:rFonts w:ascii="Times New Roman" w:hAnsi="Times New Roman" w:cs="Times New Roman"/>
          <w:sz w:val="24"/>
          <w:szCs w:val="24"/>
        </w:rPr>
        <w:t xml:space="preserve">), яку заявлено в </w:t>
      </w:r>
      <w:r>
        <w:rPr>
          <w:rFonts w:ascii="Times New Roman" w:hAnsi="Times New Roman" w:cs="Times New Roman"/>
          <w:sz w:val="24"/>
          <w:szCs w:val="24"/>
        </w:rPr>
        <w:t xml:space="preserve">пропозиції</w:t>
      </w:r>
      <w:r>
        <w:rPr>
          <w:rFonts w:ascii="Times New Roman" w:hAnsi="Times New Roman" w:cs="Times New Roman"/>
          <w:sz w:val="24"/>
          <w:szCs w:val="24"/>
        </w:rPr>
        <w:t xml:space="preserve"> про </w:t>
      </w:r>
      <w:r>
        <w:rPr>
          <w:rFonts w:ascii="Times New Roman" w:hAnsi="Times New Roman" w:cs="Times New Roman"/>
          <w:sz w:val="24"/>
          <w:szCs w:val="24"/>
        </w:rPr>
        <w:t xml:space="preserve">кон’юнктуру</w:t>
      </w:r>
      <w:r>
        <w:rPr>
          <w:rFonts w:ascii="Times New Roman" w:hAnsi="Times New Roman" w:cs="Times New Roman"/>
          <w:sz w:val="24"/>
          <w:szCs w:val="24"/>
        </w:rPr>
        <w:t xml:space="preserve"> ринку товару, </w:t>
      </w:r>
      <w:r>
        <w:rPr>
          <w:rFonts w:ascii="Times New Roman" w:hAnsi="Times New Roman" w:cs="Times New Roman"/>
          <w:sz w:val="24"/>
          <w:szCs w:val="24"/>
        </w:rPr>
        <w:t xml:space="preserve">відповідно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товарів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що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пропонуються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виданий</w:t>
      </w:r>
      <w:r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 xml:space="preserve">раніше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оголошення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процедури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закупівлі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pStyle w:val="692"/>
        <w:numPr>
          <w:ilvl w:val="0"/>
          <w:numId w:val="22"/>
        </w:numPr>
        <w:ind w:left="0" w:firstLine="851"/>
        <w:jc w:val="both"/>
        <w:spacing w:after="0" w:line="240" w:lineRule="auto"/>
        <w:widowControl w:val="off"/>
        <w:tabs>
          <w:tab w:val="left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перелік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сервісних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центрів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служби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підтримки</w:t>
      </w:r>
      <w:r>
        <w:rPr>
          <w:rFonts w:ascii="Times New Roman" w:hAnsi="Times New Roman" w:cs="Times New Roman"/>
          <w:sz w:val="24"/>
          <w:szCs w:val="24"/>
        </w:rPr>
        <w:t xml:space="preserve">, у </w:t>
      </w:r>
      <w:r>
        <w:rPr>
          <w:rFonts w:ascii="Times New Roman" w:hAnsi="Times New Roman" w:cs="Times New Roman"/>
          <w:sz w:val="24"/>
          <w:szCs w:val="24"/>
        </w:rPr>
        <w:t xml:space="preserve">яких</w:t>
      </w:r>
      <w:r>
        <w:rPr>
          <w:rFonts w:ascii="Times New Roman" w:hAnsi="Times New Roman" w:cs="Times New Roman"/>
          <w:sz w:val="24"/>
          <w:szCs w:val="24"/>
        </w:rPr>
        <w:t xml:space="preserve"> буде </w:t>
      </w:r>
      <w:r>
        <w:rPr>
          <w:rFonts w:ascii="Times New Roman" w:hAnsi="Times New Roman" w:cs="Times New Roman"/>
          <w:sz w:val="24"/>
          <w:szCs w:val="24"/>
        </w:rPr>
        <w:t xml:space="preserve">здійснюватися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гарантійне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обслуговування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пропонованого</w:t>
      </w:r>
      <w:r>
        <w:rPr>
          <w:rFonts w:ascii="Times New Roman" w:hAnsi="Times New Roman" w:cs="Times New Roman"/>
          <w:sz w:val="24"/>
          <w:szCs w:val="24"/>
        </w:rPr>
        <w:t xml:space="preserve"> товару на </w:t>
      </w:r>
      <w:r>
        <w:rPr>
          <w:rFonts w:ascii="Times New Roman" w:hAnsi="Times New Roman" w:cs="Times New Roman"/>
          <w:sz w:val="24"/>
          <w:szCs w:val="24"/>
        </w:rPr>
        <w:t xml:space="preserve">території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України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Під</w:t>
      </w:r>
      <w:r>
        <w:rPr>
          <w:rFonts w:ascii="Times New Roman" w:hAnsi="Times New Roman" w:cs="Times New Roman"/>
          <w:sz w:val="24"/>
          <w:szCs w:val="24"/>
        </w:rPr>
        <w:t xml:space="preserve"> час </w:t>
      </w:r>
      <w:r>
        <w:rPr>
          <w:rFonts w:ascii="Times New Roman" w:hAnsi="Times New Roman" w:cs="Times New Roman"/>
          <w:sz w:val="24"/>
          <w:szCs w:val="24"/>
        </w:rPr>
        <w:t xml:space="preserve">постачання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товарів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Учасник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надає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гарантійні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талони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гарантії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із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зазначенням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назви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обладнання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його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серійних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номерів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r/>
    </w:p>
    <w:p>
      <w:pPr>
        <w:pStyle w:val="692"/>
        <w:numPr>
          <w:ilvl w:val="0"/>
          <w:numId w:val="22"/>
        </w:numPr>
        <w:ind w:left="0" w:firstLine="851"/>
        <w:jc w:val="both"/>
        <w:spacing w:after="0" w:line="240" w:lineRule="auto"/>
        <w:widowControl w:val="off"/>
        <w:tabs>
          <w:tab w:val="left" w:pos="284" w:leader="none"/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Замовник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має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звернутися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підтвердженням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інформації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наданої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учасником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органів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державної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влади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підприємств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організацій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відповідно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їх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компетенції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отримання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достовірної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інформації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невідповідність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вимогам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кваліфікаційних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критеріїв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факту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зазначення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тендерній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пропозиції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будь-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якої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недостовірної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інформації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є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суттєвою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визначенні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результатів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процедури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закупівлі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замовник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відхиляє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тендерну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пропозицію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такого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учасника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отримання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достовірної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інформації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невідповідність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вимогам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кваліфікаційних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критеріїв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замовник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має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відхилити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тендерну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пропозицію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  <w:r/>
    </w:p>
    <w:p>
      <w:pPr>
        <w:pStyle w:val="692"/>
        <w:numPr>
          <w:ilvl w:val="0"/>
          <w:numId w:val="22"/>
        </w:numPr>
        <w:ind w:left="0" w:firstLine="709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Доставка </w:t>
      </w:r>
      <w:r>
        <w:rPr>
          <w:rFonts w:ascii="Times New Roman" w:hAnsi="Times New Roman" w:cs="Times New Roman"/>
          <w:sz w:val="24"/>
          <w:szCs w:val="24"/>
        </w:rPr>
        <w:t xml:space="preserve">до складу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Замовника</w:t>
      </w:r>
      <w:r>
        <w:rPr>
          <w:rFonts w:ascii="Times New Roman" w:hAnsi="Times New Roman" w:cs="Times New Roman"/>
          <w:sz w:val="24"/>
          <w:szCs w:val="24"/>
        </w:rPr>
        <w:t xml:space="preserve"> Товару, </w:t>
      </w:r>
      <w:r>
        <w:rPr>
          <w:rFonts w:ascii="Times New Roman" w:hAnsi="Times New Roman" w:cs="Times New Roman"/>
          <w:sz w:val="24"/>
          <w:szCs w:val="24"/>
        </w:rPr>
        <w:t xml:space="preserve">навантаження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розвантаження</w:t>
      </w:r>
      <w:r>
        <w:rPr>
          <w:rFonts w:ascii="Times New Roman" w:hAnsi="Times New Roman" w:cs="Times New Roman"/>
          <w:sz w:val="24"/>
          <w:szCs w:val="24"/>
        </w:rPr>
        <w:t xml:space="preserve"> Товару на склад </w:t>
      </w:r>
      <w:r>
        <w:rPr>
          <w:rFonts w:ascii="Times New Roman" w:hAnsi="Times New Roman" w:cs="Times New Roman"/>
          <w:sz w:val="24"/>
          <w:szCs w:val="24"/>
        </w:rPr>
        <w:t xml:space="preserve">Замовника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здійснюється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Переможцем</w:t>
      </w:r>
      <w:r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його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власний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рахунок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769 870,00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сімсот шістдесят дев’ять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вісімсот сімдесят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9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4"/>
  </w:num>
  <w:num w:numId="5">
    <w:abstractNumId w:val="4"/>
  </w:num>
  <w:num w:numId="6">
    <w:abstractNumId w:val="17"/>
  </w:num>
  <w:num w:numId="7">
    <w:abstractNumId w:val="8"/>
  </w:num>
  <w:num w:numId="8">
    <w:abstractNumId w:val="19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8"/>
  </w:num>
  <w:num w:numId="17">
    <w:abstractNumId w:val="0"/>
  </w:num>
  <w:num w:numId="18">
    <w:abstractNumId w:val="20"/>
  </w:num>
  <w:num w:numId="19">
    <w:abstractNumId w:val="1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7"/>
    <w:next w:val="68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9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9"/>
    <w:link w:val="688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7"/>
    <w:next w:val="68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7"/>
    <w:next w:val="68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7"/>
    <w:next w:val="68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7"/>
    <w:next w:val="68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7"/>
    <w:next w:val="68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7"/>
    <w:next w:val="68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7"/>
    <w:next w:val="68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7"/>
    <w:next w:val="68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9"/>
    <w:link w:val="33"/>
    <w:uiPriority w:val="10"/>
    <w:rPr>
      <w:sz w:val="48"/>
      <w:szCs w:val="48"/>
    </w:rPr>
  </w:style>
  <w:style w:type="paragraph" w:styleId="35">
    <w:name w:val="Subtitle"/>
    <w:basedOn w:val="687"/>
    <w:next w:val="68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9"/>
    <w:link w:val="35"/>
    <w:uiPriority w:val="11"/>
    <w:rPr>
      <w:sz w:val="24"/>
      <w:szCs w:val="24"/>
    </w:rPr>
  </w:style>
  <w:style w:type="paragraph" w:styleId="37">
    <w:name w:val="Quote"/>
    <w:basedOn w:val="687"/>
    <w:next w:val="68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7"/>
    <w:next w:val="68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9"/>
    <w:link w:val="41"/>
    <w:uiPriority w:val="99"/>
  </w:style>
  <w:style w:type="character" w:styleId="44">
    <w:name w:val="Footer Char"/>
    <w:basedOn w:val="689"/>
    <w:link w:val="698"/>
    <w:uiPriority w:val="99"/>
  </w:style>
  <w:style w:type="paragraph" w:styleId="45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8"/>
    <w:uiPriority w:val="99"/>
  </w:style>
  <w:style w:type="table" w:styleId="48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9"/>
    <w:uiPriority w:val="99"/>
    <w:unhideWhenUsed/>
    <w:rPr>
      <w:vertAlign w:val="superscript"/>
    </w:rPr>
  </w:style>
  <w:style w:type="paragraph" w:styleId="177">
    <w:name w:val="endnote text"/>
    <w:basedOn w:val="68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9"/>
    <w:uiPriority w:val="99"/>
    <w:semiHidden/>
    <w:unhideWhenUsed/>
    <w:rPr>
      <w:vertAlign w:val="superscript"/>
    </w:rPr>
  </w:style>
  <w:style w:type="paragraph" w:styleId="180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rPr>
      <w:lang w:val="uk-UA"/>
    </w:rPr>
  </w:style>
  <w:style w:type="paragraph" w:styleId="688">
    <w:name w:val="Heading 2"/>
    <w:basedOn w:val="687"/>
    <w:link w:val="70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paragraph" w:styleId="692">
    <w:name w:val="List Paragraph"/>
    <w:basedOn w:val="687"/>
    <w:link w:val="693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3" w:customStyle="1">
    <w:name w:val="Абзац списку Знак"/>
    <w:link w:val="692"/>
    <w:rPr>
      <w:rFonts w:ascii="Calibri" w:hAnsi="Calibri" w:eastAsia="Calibri" w:cs="Calibri"/>
      <w:lang w:eastAsia="zh-CN"/>
    </w:rPr>
  </w:style>
  <w:style w:type="table" w:styleId="694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5" w:customStyle="1">
    <w:name w:val="Сетка таблицы2"/>
    <w:basedOn w:val="690"/>
    <w:next w:val="694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6">
    <w:name w:val="Normal (Web)"/>
    <w:basedOn w:val="687"/>
    <w:link w:val="703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697" w:customStyle="1">
    <w:name w:val="Сетка таблицы1"/>
    <w:basedOn w:val="690"/>
    <w:next w:val="694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8">
    <w:name w:val="Footer"/>
    <w:basedOn w:val="687"/>
    <w:link w:val="699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9" w:customStyle="1">
    <w:name w:val="Нижній колонтитул Знак"/>
    <w:basedOn w:val="689"/>
    <w:link w:val="698"/>
    <w:uiPriority w:val="99"/>
    <w:rPr>
      <w:rFonts w:ascii="Calibri" w:hAnsi="Calibri" w:eastAsia="Calibri" w:cs="Calibri"/>
      <w:lang w:eastAsia="zh-CN"/>
    </w:rPr>
  </w:style>
  <w:style w:type="paragraph" w:styleId="700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01">
    <w:name w:val="Hyperlink"/>
    <w:basedOn w:val="689"/>
    <w:uiPriority w:val="99"/>
    <w:unhideWhenUsed/>
    <w:rPr>
      <w:color w:val="0563c1" w:themeColor="hyperlink"/>
      <w:u w:val="single"/>
    </w:rPr>
  </w:style>
  <w:style w:type="character" w:styleId="702" w:customStyle="1">
    <w:name w:val="xfm_93972720"/>
    <w:basedOn w:val="689"/>
  </w:style>
  <w:style w:type="character" w:styleId="703" w:customStyle="1">
    <w:name w:val="Звичайний (веб) Знак"/>
    <w:link w:val="696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04">
    <w:name w:val="Body Text 2"/>
    <w:basedOn w:val="687"/>
    <w:link w:val="705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5" w:customStyle="1">
    <w:name w:val="Основний текст 2 Знак"/>
    <w:basedOn w:val="689"/>
    <w:link w:val="70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6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7" w:customStyle="1">
    <w:name w:val="Заголовок 2 Знак"/>
    <w:basedOn w:val="689"/>
    <w:link w:val="688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8">
    <w:name w:val="No Spacing"/>
    <w:link w:val="709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9" w:customStyle="1">
    <w:name w:val="Без інтервалів Знак"/>
    <w:basedOn w:val="689"/>
    <w:link w:val="708"/>
    <w:uiPriority w:val="1"/>
    <w:rPr>
      <w:rFonts w:ascii="Calibri" w:hAnsi="Calibri" w:eastAsia="Calibri" w:cs="Times New Roman"/>
      <w:lang w:val="uk-UA"/>
    </w:rPr>
  </w:style>
  <w:style w:type="character" w:styleId="710" w:customStyle="1">
    <w:name w:val="Другое_"/>
    <w:basedOn w:val="689"/>
    <w:link w:val="711"/>
    <w:rPr>
      <w:rFonts w:ascii="Calibri" w:hAnsi="Calibri" w:eastAsia="Calibri" w:cs="Calibri"/>
      <w:sz w:val="20"/>
      <w:szCs w:val="20"/>
    </w:rPr>
  </w:style>
  <w:style w:type="paragraph" w:styleId="711" w:customStyle="1">
    <w:name w:val="Другое"/>
    <w:basedOn w:val="687"/>
    <w:link w:val="710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2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3" w:customStyle="1">
    <w:name w:val="Основной текст (2)_"/>
    <w:basedOn w:val="689"/>
    <w:link w:val="714"/>
    <w:rPr>
      <w:rFonts w:eastAsia="Times New Roman" w:cs="Times New Roman"/>
      <w:shd w:val="clear" w:color="auto" w:fill="ffffff"/>
    </w:rPr>
  </w:style>
  <w:style w:type="paragraph" w:styleId="714" w:customStyle="1">
    <w:name w:val="Основной текст (2)"/>
    <w:basedOn w:val="687"/>
    <w:link w:val="713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5" w:customStyle="1">
    <w:name w:val="Текст у виносці Знак"/>
    <w:basedOn w:val="689"/>
    <w:link w:val="71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6">
    <w:name w:val="Balloon Text"/>
    <w:basedOn w:val="687"/>
    <w:link w:val="715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7" w:customStyle="1">
    <w:name w:val="Текст у виносці Знак1"/>
    <w:basedOn w:val="689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8" w:customStyle="1">
    <w:name w:val="T23"/>
    <w:rPr>
      <w:rFonts w:hint="default" w:ascii="Times New Roman" w:hAnsi="Times New Roman" w:eastAsia="Times New Roman1" w:cs="Times New Roman"/>
    </w:rPr>
  </w:style>
  <w:style w:type="paragraph" w:styleId="719" w:customStyle="1">
    <w:name w:val="Абзац списку1"/>
    <w:basedOn w:val="687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20" w:customStyle="1">
    <w:name w:val="markedcontent"/>
    <w:basedOn w:val="68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141</cp:revision>
  <dcterms:created xsi:type="dcterms:W3CDTF">2022-11-01T12:47:00Z</dcterms:created>
  <dcterms:modified xsi:type="dcterms:W3CDTF">2023-10-17T19:38:00Z</dcterms:modified>
</cp:coreProperties>
</file>