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із заправки та відновлення картриджів за кодом  ДК 021:2015: 50310000-1 Технічне обслуговування і ремонт офісної техніки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6595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із заправки та відновлення картриджів за кодом  ДК 021:2015: 50310000-1 Технічне обслуговування і ремонт офісної техніки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W w:w="975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5079"/>
        <w:gridCol w:w="2410"/>
        <w:gridCol w:w="1701"/>
      </w:tblGrid>
      <w:tr>
        <w:trPr>
          <w:trHeight w:val="34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HP</w:t>
            </w:r>
            <w:r>
              <w:rPr>
                <w:sz w:val="24"/>
                <w:szCs w:val="24"/>
                <w:lang w:val="ru-RU"/>
              </w:rPr>
              <w:t xml:space="preserve"> 106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</w:t>
            </w:r>
            <w:r>
              <w:rPr>
                <w:sz w:val="24"/>
                <w:szCs w:val="24"/>
                <w:lang w:val="ru-RU"/>
              </w:rPr>
              <w:t xml:space="preserve">1106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HP</w:t>
            </w:r>
            <w:r>
              <w:rPr>
                <w:sz w:val="24"/>
                <w:szCs w:val="24"/>
                <w:lang w:val="ru-RU"/>
              </w:rPr>
              <w:t xml:space="preserve"> 106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</w:t>
            </w:r>
            <w:r>
              <w:rPr>
                <w:sz w:val="24"/>
                <w:szCs w:val="24"/>
                <w:lang w:val="ru-RU"/>
              </w:rPr>
              <w:t xml:space="preserve">1106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737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737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052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052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052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052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057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057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G-G725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G-G725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Toner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</w:t>
            </w:r>
            <w:r>
              <w:rPr>
                <w:sz w:val="24"/>
                <w:szCs w:val="24"/>
                <w:lang w:val="ru-RU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 xml:space="preserve">black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Toner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</w:t>
            </w:r>
            <w:r>
              <w:rPr>
                <w:sz w:val="24"/>
                <w:szCs w:val="24"/>
                <w:lang w:val="ru-RU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 xml:space="preserve">black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Fl-CE285A/725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Fl-CE285A/725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19</w:t>
            </w:r>
            <w:r>
              <w:rPr>
                <w:sz w:val="24"/>
                <w:szCs w:val="24"/>
                <w:lang w:val="en-US"/>
              </w:rPr>
              <w:t xml:space="preserve">A CF219A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Canon</w:t>
            </w:r>
            <w:r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CF</w:t>
            </w:r>
            <w:r>
              <w:rPr>
                <w:sz w:val="24"/>
                <w:szCs w:val="24"/>
                <w:lang w:val="ru-RU"/>
              </w:rPr>
              <w:t xml:space="preserve">219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CW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</w:t>
            </w:r>
            <w:r>
              <w:rPr>
                <w:sz w:val="24"/>
                <w:szCs w:val="24"/>
                <w:lang w:val="ru-RU"/>
              </w:rPr>
              <w:t xml:space="preserve">045 </w:t>
            </w:r>
            <w:r>
              <w:rPr>
                <w:sz w:val="24"/>
                <w:szCs w:val="24"/>
                <w:lang w:val="en-US"/>
              </w:rPr>
              <w:t xml:space="preserve">black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CW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</w:t>
            </w:r>
            <w:r>
              <w:rPr>
                <w:sz w:val="24"/>
                <w:szCs w:val="24"/>
                <w:lang w:val="ru-RU"/>
              </w:rPr>
              <w:t xml:space="preserve">045 </w:t>
            </w:r>
            <w:r>
              <w:rPr>
                <w:sz w:val="24"/>
                <w:szCs w:val="24"/>
                <w:lang w:val="en-US"/>
              </w:rPr>
              <w:t xml:space="preserve">black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canon 719 ce505a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canon 719 ce505a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GT-HcF226x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GT-HcF226x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761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G</w:t>
            </w:r>
            <w:r>
              <w:rPr>
                <w:sz w:val="24"/>
                <w:szCs w:val="24"/>
                <w:lang w:val="ru-RU"/>
              </w:rPr>
              <w:t xml:space="preserve">&amp;</w:t>
            </w:r>
            <w:r>
              <w:rPr>
                <w:sz w:val="24"/>
                <w:szCs w:val="24"/>
                <w:lang w:val="en-US"/>
              </w:rPr>
              <w:t xml:space="preserve">G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D</w:t>
            </w:r>
            <w:r>
              <w:rPr>
                <w:sz w:val="24"/>
                <w:szCs w:val="24"/>
                <w:lang w:val="ru-RU"/>
              </w:rPr>
              <w:t xml:space="preserve">117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картриджа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737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картриджа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737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принтера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imageRunner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c3326i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Заправка картриджів, включає в себе: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перевірку надійності функціонування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повне очищення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профілактичні роботи;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змащування відповідних вузлів та деталей;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заміну несправних деталей, крім заміни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фотобарабану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наповнення картриджу витратним матеріалом (тонером) для забезпечення друку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кількості сторінок, визначеної виробником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тестове випробування.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Відновлення картриджів, включає в себе: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перевірку надійності функціонування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повне очищення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профілактичні роботи;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змащування відповідних вузлів та деталей;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заміну несправних деталей, заміну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фотобарабану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наповнення картриджу витратним матеріалом (тонером) для забезпечення друку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кількості сторінок, визначеної виробником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тестове випробування</w:t>
      </w:r>
      <w:r/>
    </w:p>
    <w:p>
      <w:pPr>
        <w:pStyle w:val="724"/>
        <w:numPr>
          <w:ilvl w:val="0"/>
          <w:numId w:val="37"/>
        </w:numPr>
        <w:ind w:right="-25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Картриджі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після</w:t>
      </w:r>
      <w:r>
        <w:rPr>
          <w:rFonts w:ascii="Times New Roman" w:hAnsi="Times New Roman" w:cs="Times New Roman"/>
          <w:sz w:val="24"/>
          <w:szCs w:val="24"/>
        </w:rPr>
        <w:t xml:space="preserve"> заправки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чистими</w:t>
      </w:r>
      <w:r>
        <w:rPr>
          <w:rFonts w:ascii="Times New Roman" w:hAnsi="Times New Roman" w:cs="Times New Roman"/>
          <w:sz w:val="24"/>
          <w:szCs w:val="24"/>
        </w:rPr>
        <w:t xml:space="preserve">, з </w:t>
      </w:r>
      <w:r>
        <w:rPr>
          <w:rFonts w:ascii="Times New Roman" w:hAnsi="Times New Roman" w:cs="Times New Roman"/>
          <w:sz w:val="24"/>
          <w:szCs w:val="24"/>
        </w:rPr>
        <w:t xml:space="preserve">контрольними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тестовими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роздруківками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sz w:val="24"/>
          <w:szCs w:val="24"/>
        </w:rPr>
        <w:t xml:space="preserve">необхідності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відбувається</w:t>
      </w:r>
      <w:r>
        <w:rPr>
          <w:rFonts w:ascii="Times New Roman" w:hAnsi="Times New Roman" w:cs="Times New Roman"/>
          <w:sz w:val="24"/>
          <w:szCs w:val="24"/>
        </w:rPr>
        <w:t xml:space="preserve"> прошивка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заміна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чіпа</w:t>
      </w:r>
      <w:r>
        <w:rPr>
          <w:rFonts w:ascii="Times New Roman" w:hAnsi="Times New Roman" w:cs="Times New Roman"/>
          <w:sz w:val="24"/>
          <w:szCs w:val="24"/>
        </w:rPr>
        <w:t xml:space="preserve"> картриджа.</w:t>
      </w:r>
      <w:r/>
    </w:p>
    <w:p>
      <w:pPr>
        <w:pStyle w:val="724"/>
        <w:numPr>
          <w:ilvl w:val="0"/>
          <w:numId w:val="37"/>
        </w:numPr>
        <w:jc w:val="both"/>
        <w:spacing w:after="0" w:line="240" w:lineRule="auto"/>
        <w:rPr>
          <w:rStyle w:val="762"/>
          <w:rFonts w:ascii="Times New Roman" w:hAnsi="Times New Roman"/>
          <w:sz w:val="24"/>
          <w:szCs w:val="24"/>
        </w:rPr>
      </w:pPr>
      <w:r>
        <w:rPr>
          <w:rStyle w:val="762"/>
          <w:rFonts w:ascii="Times New Roman" w:hAnsi="Times New Roman"/>
          <w:sz w:val="24"/>
          <w:szCs w:val="24"/>
        </w:rPr>
        <w:t xml:space="preserve">Термін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виконання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замовлення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із</w:t>
      </w:r>
      <w:r>
        <w:rPr>
          <w:rStyle w:val="762"/>
          <w:rFonts w:ascii="Times New Roman" w:hAnsi="Times New Roman"/>
          <w:sz w:val="24"/>
          <w:szCs w:val="24"/>
        </w:rPr>
        <w:t xml:space="preserve"> заправки/</w:t>
      </w:r>
      <w:r>
        <w:rPr>
          <w:rStyle w:val="762"/>
          <w:rFonts w:ascii="Times New Roman" w:hAnsi="Times New Roman"/>
          <w:sz w:val="24"/>
          <w:szCs w:val="24"/>
        </w:rPr>
        <w:t xml:space="preserve">відновлення</w:t>
      </w:r>
      <w:r>
        <w:rPr>
          <w:rStyle w:val="762"/>
          <w:rFonts w:ascii="Times New Roman" w:hAnsi="Times New Roman"/>
          <w:sz w:val="24"/>
          <w:szCs w:val="24"/>
        </w:rPr>
        <w:t xml:space="preserve"> картриджа(</w:t>
      </w:r>
      <w:r>
        <w:rPr>
          <w:rStyle w:val="762"/>
          <w:rFonts w:ascii="Times New Roman" w:hAnsi="Times New Roman"/>
          <w:sz w:val="24"/>
          <w:szCs w:val="24"/>
        </w:rPr>
        <w:t xml:space="preserve">ів</w:t>
      </w:r>
      <w:r>
        <w:rPr>
          <w:rStyle w:val="762"/>
          <w:rFonts w:ascii="Times New Roman" w:hAnsi="Times New Roman"/>
          <w:sz w:val="24"/>
          <w:szCs w:val="24"/>
        </w:rPr>
        <w:t xml:space="preserve">) </w:t>
      </w:r>
      <w:r>
        <w:rPr>
          <w:rStyle w:val="762"/>
          <w:rFonts w:ascii="Times New Roman" w:hAnsi="Times New Roman"/>
          <w:sz w:val="24"/>
          <w:szCs w:val="24"/>
        </w:rPr>
        <w:t xml:space="preserve">згідно</w:t>
      </w:r>
      <w:r>
        <w:rPr>
          <w:rStyle w:val="762"/>
          <w:rFonts w:ascii="Times New Roman" w:hAnsi="Times New Roman"/>
          <w:sz w:val="24"/>
          <w:szCs w:val="24"/>
        </w:rPr>
        <w:t xml:space="preserve"> заявки </w:t>
      </w:r>
      <w:r>
        <w:rPr>
          <w:rStyle w:val="762"/>
          <w:rFonts w:ascii="Times New Roman" w:hAnsi="Times New Roman"/>
          <w:sz w:val="24"/>
          <w:szCs w:val="24"/>
        </w:rPr>
        <w:t xml:space="preserve">замовника</w:t>
      </w:r>
      <w:r>
        <w:rPr>
          <w:rStyle w:val="762"/>
          <w:rFonts w:ascii="Times New Roman" w:hAnsi="Times New Roman"/>
          <w:sz w:val="24"/>
          <w:szCs w:val="24"/>
        </w:rPr>
        <w:t xml:space="preserve"> не повинен </w:t>
      </w:r>
      <w:r>
        <w:rPr>
          <w:rStyle w:val="762"/>
          <w:rFonts w:ascii="Times New Roman" w:hAnsi="Times New Roman"/>
          <w:sz w:val="24"/>
          <w:szCs w:val="24"/>
        </w:rPr>
        <w:t xml:space="preserve">перевищувати</w:t>
      </w:r>
      <w:r>
        <w:rPr>
          <w:rStyle w:val="762"/>
          <w:rFonts w:ascii="Times New Roman" w:hAnsi="Times New Roman"/>
          <w:sz w:val="24"/>
          <w:szCs w:val="24"/>
        </w:rPr>
        <w:t xml:space="preserve"> 2 </w:t>
      </w:r>
      <w:r>
        <w:rPr>
          <w:rStyle w:val="762"/>
          <w:rFonts w:ascii="Times New Roman" w:hAnsi="Times New Roman"/>
          <w:sz w:val="24"/>
          <w:szCs w:val="24"/>
        </w:rPr>
        <w:t xml:space="preserve">робочі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дні</w:t>
      </w:r>
      <w:r>
        <w:rPr>
          <w:rStyle w:val="762"/>
          <w:rFonts w:ascii="Times New Roman" w:hAnsi="Times New Roman"/>
          <w:sz w:val="24"/>
          <w:szCs w:val="24"/>
        </w:rPr>
        <w:t xml:space="preserve">. При </w:t>
      </w:r>
      <w:r>
        <w:rPr>
          <w:rStyle w:val="762"/>
          <w:rFonts w:ascii="Times New Roman" w:hAnsi="Times New Roman"/>
          <w:sz w:val="24"/>
          <w:szCs w:val="24"/>
        </w:rPr>
        <w:t xml:space="preserve">цьому</w:t>
      </w:r>
      <w:r>
        <w:rPr>
          <w:rStyle w:val="762"/>
          <w:rFonts w:ascii="Times New Roman" w:hAnsi="Times New Roman"/>
          <w:sz w:val="24"/>
          <w:szCs w:val="24"/>
        </w:rPr>
        <w:t xml:space="preserve"> не </w:t>
      </w:r>
      <w:r>
        <w:rPr>
          <w:rStyle w:val="762"/>
          <w:rFonts w:ascii="Times New Roman" w:hAnsi="Times New Roman"/>
          <w:sz w:val="24"/>
          <w:szCs w:val="24"/>
        </w:rPr>
        <w:t xml:space="preserve">враховуються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дні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отримання</w:t>
      </w:r>
      <w:r>
        <w:rPr>
          <w:rStyle w:val="762"/>
          <w:rFonts w:ascii="Times New Roman" w:hAnsi="Times New Roman"/>
          <w:sz w:val="24"/>
          <w:szCs w:val="24"/>
        </w:rPr>
        <w:t xml:space="preserve"> та </w:t>
      </w:r>
      <w:r>
        <w:rPr>
          <w:rStyle w:val="762"/>
          <w:rFonts w:ascii="Times New Roman" w:hAnsi="Times New Roman"/>
          <w:sz w:val="24"/>
          <w:szCs w:val="24"/>
        </w:rPr>
        <w:t xml:space="preserve">повернення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картриджів</w:t>
      </w:r>
      <w:r>
        <w:rPr>
          <w:rStyle w:val="762"/>
          <w:rFonts w:ascii="Times New Roman" w:hAnsi="Times New Roman"/>
          <w:sz w:val="24"/>
          <w:szCs w:val="24"/>
        </w:rPr>
        <w:t xml:space="preserve"> </w:t>
      </w:r>
      <w:r>
        <w:rPr>
          <w:rStyle w:val="762"/>
          <w:rFonts w:ascii="Times New Roman" w:hAnsi="Times New Roman"/>
          <w:sz w:val="24"/>
          <w:szCs w:val="24"/>
        </w:rPr>
        <w:t xml:space="preserve">Виконавцем</w:t>
      </w:r>
      <w:r>
        <w:rPr>
          <w:rStyle w:val="762"/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724"/>
        <w:numPr>
          <w:ilvl w:val="0"/>
          <w:numId w:val="3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Hlk130452844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Транспортування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картриджів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місця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робіт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місця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робіт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здійснює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bookmarkEnd w:id="0"/>
      <w:r/>
      <w:r/>
    </w:p>
    <w:p>
      <w:pPr>
        <w:pStyle w:val="724"/>
        <w:numPr>
          <w:ilvl w:val="0"/>
          <w:numId w:val="37"/>
        </w:num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</w:t>
      </w:r>
      <w:r>
        <w:rPr>
          <w:rFonts w:ascii="Times New Roman" w:hAnsi="Times New Roman" w:cs="Times New Roman"/>
          <w:sz w:val="24"/>
          <w:szCs w:val="24"/>
        </w:rPr>
        <w:t xml:space="preserve"> заправки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відновлення</w:t>
      </w:r>
      <w:r>
        <w:rPr>
          <w:rFonts w:ascii="Times New Roman" w:hAnsi="Times New Roman" w:cs="Times New Roman"/>
          <w:sz w:val="24"/>
          <w:szCs w:val="24"/>
        </w:rPr>
        <w:t xml:space="preserve"> в картриджах повинно бути </w:t>
      </w:r>
      <w:r>
        <w:rPr>
          <w:rFonts w:ascii="Times New Roman" w:hAnsi="Times New Roman" w:cs="Times New Roman"/>
          <w:sz w:val="24"/>
          <w:szCs w:val="24"/>
        </w:rPr>
        <w:t xml:space="preserve">об’єм</w:t>
      </w:r>
      <w:r>
        <w:rPr>
          <w:rFonts w:ascii="Times New Roman" w:hAnsi="Times New Roman" w:cs="Times New Roman"/>
          <w:sz w:val="24"/>
          <w:szCs w:val="24"/>
        </w:rPr>
        <w:t xml:space="preserve"> тонера </w:t>
      </w:r>
      <w:r>
        <w:rPr>
          <w:rFonts w:ascii="Times New Roman" w:hAnsi="Times New Roman" w:cs="Times New Roman"/>
          <w:sz w:val="24"/>
          <w:szCs w:val="24"/>
        </w:rPr>
        <w:t xml:space="preserve">котрий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зазначено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кожної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</w:rPr>
        <w:t xml:space="preserve"> картриджа, </w:t>
      </w:r>
      <w:r>
        <w:rPr>
          <w:rFonts w:ascii="Times New Roman" w:hAnsi="Times New Roman" w:cs="Times New Roman"/>
          <w:sz w:val="24"/>
          <w:szCs w:val="24"/>
        </w:rPr>
        <w:t xml:space="preserve">друк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контрастний</w:t>
      </w:r>
      <w:r>
        <w:rPr>
          <w:rFonts w:ascii="Times New Roman" w:hAnsi="Times New Roman" w:cs="Times New Roman"/>
          <w:sz w:val="24"/>
          <w:szCs w:val="24"/>
        </w:rPr>
        <w:t xml:space="preserve">, з гарною передачею </w:t>
      </w:r>
      <w:r>
        <w:rPr>
          <w:rFonts w:ascii="Times New Roman" w:hAnsi="Times New Roman" w:cs="Times New Roman"/>
          <w:sz w:val="24"/>
          <w:szCs w:val="24"/>
        </w:rPr>
        <w:t xml:space="preserve">півтонів</w:t>
      </w:r>
      <w:r>
        <w:rPr>
          <w:rFonts w:ascii="Times New Roman" w:hAnsi="Times New Roman" w:cs="Times New Roman"/>
          <w:sz w:val="24"/>
          <w:szCs w:val="24"/>
        </w:rPr>
        <w:t xml:space="preserve">, без </w:t>
      </w:r>
      <w:r>
        <w:rPr>
          <w:rFonts w:ascii="Times New Roman" w:hAnsi="Times New Roman" w:cs="Times New Roman"/>
          <w:sz w:val="24"/>
          <w:szCs w:val="24"/>
        </w:rPr>
        <w:t xml:space="preserve">смуг</w:t>
      </w:r>
      <w:r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 xml:space="preserve">рисочок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40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Послуги надаються на вимогу Замовника у всі робочі дні місяця.</w:t>
      </w:r>
      <w:r/>
    </w:p>
    <w:p>
      <w:pPr>
        <w:pStyle w:val="740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Замовник має право: </w:t>
      </w:r>
      <w:r/>
    </w:p>
    <w:p>
      <w:pPr>
        <w:pStyle w:val="74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протягом 7 (семи) робочих днів після підписання Акту наданих послуг пред’явити претензії щодо якості наданих послуг.</w:t>
      </w:r>
      <w:r/>
    </w:p>
    <w:p>
      <w:pPr>
        <w:pStyle w:val="740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Місце надання послуг: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Виконавця послуг.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186 607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вісімдесят шість тисяч шістсот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5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7"/>
    <w:next w:val="7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1"/>
    <w:link w:val="71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1"/>
    <w:link w:val="71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1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7"/>
    <w:next w:val="7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7"/>
    <w:next w:val="7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7"/>
    <w:next w:val="7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7"/>
    <w:next w:val="7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7"/>
    <w:next w:val="7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7"/>
    <w:next w:val="7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1"/>
    <w:link w:val="33"/>
    <w:uiPriority w:val="10"/>
    <w:rPr>
      <w:sz w:val="48"/>
      <w:szCs w:val="48"/>
    </w:rPr>
  </w:style>
  <w:style w:type="paragraph" w:styleId="35">
    <w:name w:val="Subtitle"/>
    <w:basedOn w:val="717"/>
    <w:next w:val="7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1"/>
    <w:link w:val="35"/>
    <w:uiPriority w:val="11"/>
    <w:rPr>
      <w:sz w:val="24"/>
      <w:szCs w:val="24"/>
    </w:rPr>
  </w:style>
  <w:style w:type="paragraph" w:styleId="37">
    <w:name w:val="Quote"/>
    <w:basedOn w:val="717"/>
    <w:next w:val="7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7"/>
    <w:next w:val="7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1"/>
    <w:link w:val="41"/>
    <w:uiPriority w:val="99"/>
  </w:style>
  <w:style w:type="character" w:styleId="44">
    <w:name w:val="Footer Char"/>
    <w:basedOn w:val="721"/>
    <w:link w:val="730"/>
    <w:uiPriority w:val="99"/>
  </w:style>
  <w:style w:type="paragraph" w:styleId="45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8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1"/>
    <w:uiPriority w:val="99"/>
    <w:unhideWhenUsed/>
    <w:rPr>
      <w:vertAlign w:val="superscript"/>
    </w:rPr>
  </w:style>
  <w:style w:type="paragraph" w:styleId="177">
    <w:name w:val="endnote text"/>
    <w:basedOn w:val="7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1"/>
    <w:uiPriority w:val="99"/>
    <w:semiHidden/>
    <w:unhideWhenUsed/>
    <w:rPr>
      <w:vertAlign w:val="superscript"/>
    </w:rPr>
  </w:style>
  <w:style w:type="paragraph" w:styleId="180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lang w:val="uk-UA"/>
    </w:rPr>
  </w:style>
  <w:style w:type="paragraph" w:styleId="718">
    <w:name w:val="Heading 2"/>
    <w:basedOn w:val="717"/>
    <w:link w:val="73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9">
    <w:name w:val="Heading 3"/>
    <w:basedOn w:val="717"/>
    <w:next w:val="717"/>
    <w:link w:val="75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0">
    <w:name w:val="Heading 4"/>
    <w:basedOn w:val="717"/>
    <w:next w:val="717"/>
    <w:link w:val="75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>
    <w:name w:val="List Paragraph"/>
    <w:basedOn w:val="717"/>
    <w:link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5" w:customStyle="1">
    <w:name w:val="Абзац списку Знак"/>
    <w:link w:val="724"/>
    <w:uiPriority w:val="34"/>
    <w:qFormat/>
    <w:rPr>
      <w:rFonts w:ascii="Calibri" w:hAnsi="Calibri" w:eastAsia="Calibri" w:cs="Calibri"/>
      <w:lang w:eastAsia="zh-CN"/>
    </w:rPr>
  </w:style>
  <w:style w:type="table" w:styleId="726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2"/>
    <w:basedOn w:val="722"/>
    <w:next w:val="72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Normal (Web)"/>
    <w:basedOn w:val="717"/>
    <w:link w:val="73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9" w:customStyle="1">
    <w:name w:val="Сетка таблицы1"/>
    <w:basedOn w:val="722"/>
    <w:next w:val="72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Footer"/>
    <w:basedOn w:val="717"/>
    <w:link w:val="73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1" w:customStyle="1">
    <w:name w:val="Нижній колонтитул Знак"/>
    <w:basedOn w:val="721"/>
    <w:link w:val="730"/>
    <w:uiPriority w:val="99"/>
    <w:rPr>
      <w:rFonts w:ascii="Calibri" w:hAnsi="Calibri" w:eastAsia="Calibri" w:cs="Calibri"/>
      <w:lang w:eastAsia="zh-CN"/>
    </w:rPr>
  </w:style>
  <w:style w:type="paragraph" w:styleId="73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3">
    <w:name w:val="Hyperlink"/>
    <w:basedOn w:val="721"/>
    <w:uiPriority w:val="99"/>
    <w:unhideWhenUsed/>
    <w:rPr>
      <w:color w:val="0563c1" w:themeColor="hyperlink"/>
      <w:u w:val="single"/>
    </w:rPr>
  </w:style>
  <w:style w:type="character" w:styleId="734" w:customStyle="1">
    <w:name w:val="xfm_93972720"/>
    <w:basedOn w:val="721"/>
  </w:style>
  <w:style w:type="character" w:styleId="735" w:customStyle="1">
    <w:name w:val="Звичайний (веб) Знак"/>
    <w:link w:val="728"/>
    <w:qFormat/>
    <w:rPr>
      <w:rFonts w:ascii="Times New Roman" w:hAnsi="Times New Roman" w:cs="Times New Roman"/>
      <w:sz w:val="24"/>
      <w:szCs w:val="24"/>
      <w:lang w:val="uk-UA"/>
    </w:rPr>
  </w:style>
  <w:style w:type="paragraph" w:styleId="736">
    <w:name w:val="Body Text 2"/>
    <w:basedOn w:val="717"/>
    <w:link w:val="73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7" w:customStyle="1">
    <w:name w:val="Основний текст 2 Знак"/>
    <w:basedOn w:val="721"/>
    <w:link w:val="7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9" w:customStyle="1">
    <w:name w:val="Заголовок 2 Знак"/>
    <w:basedOn w:val="721"/>
    <w:link w:val="71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0">
    <w:name w:val="No Spacing"/>
    <w:link w:val="74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1" w:customStyle="1">
    <w:name w:val="Без інтервалів Знак"/>
    <w:basedOn w:val="721"/>
    <w:link w:val="740"/>
    <w:rPr>
      <w:rFonts w:ascii="Calibri" w:hAnsi="Calibri" w:eastAsia="Calibri" w:cs="Times New Roman"/>
      <w:lang w:val="uk-UA"/>
    </w:rPr>
  </w:style>
  <w:style w:type="character" w:styleId="742" w:customStyle="1">
    <w:name w:val="Другое_"/>
    <w:basedOn w:val="721"/>
    <w:link w:val="743"/>
    <w:rPr>
      <w:rFonts w:ascii="Calibri" w:hAnsi="Calibri" w:eastAsia="Calibri" w:cs="Calibri"/>
      <w:sz w:val="20"/>
      <w:szCs w:val="20"/>
    </w:rPr>
  </w:style>
  <w:style w:type="paragraph" w:styleId="743" w:customStyle="1">
    <w:name w:val="Другое"/>
    <w:basedOn w:val="717"/>
    <w:link w:val="74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5" w:customStyle="1">
    <w:name w:val="Основной текст (2)_"/>
    <w:basedOn w:val="721"/>
    <w:link w:val="746"/>
    <w:rPr>
      <w:rFonts w:eastAsia="Times New Roman" w:cs="Times New Roman"/>
      <w:shd w:val="clear" w:color="auto" w:fill="ffffff"/>
    </w:rPr>
  </w:style>
  <w:style w:type="paragraph" w:styleId="746" w:customStyle="1">
    <w:name w:val="Основной текст (2)"/>
    <w:basedOn w:val="717"/>
    <w:link w:val="74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7" w:customStyle="1">
    <w:name w:val="Текст у виносці Знак"/>
    <w:basedOn w:val="721"/>
    <w:link w:val="74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8">
    <w:name w:val="Balloon Text"/>
    <w:basedOn w:val="717"/>
    <w:link w:val="74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9" w:customStyle="1">
    <w:name w:val="Текст у виносці Знак1"/>
    <w:basedOn w:val="72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0" w:customStyle="1">
    <w:name w:val="T23"/>
    <w:rPr>
      <w:rFonts w:hint="default" w:ascii="Times New Roman" w:hAnsi="Times New Roman" w:eastAsia="Times New Roman1" w:cs="Times New Roman"/>
    </w:rPr>
  </w:style>
  <w:style w:type="paragraph" w:styleId="751" w:customStyle="1">
    <w:name w:val="Абзац списку1"/>
    <w:basedOn w:val="71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2" w:customStyle="1">
    <w:name w:val="markedcontent"/>
    <w:basedOn w:val="721"/>
  </w:style>
  <w:style w:type="paragraph" w:styleId="753">
    <w:name w:val="annotation text"/>
    <w:basedOn w:val="717"/>
    <w:link w:val="75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4" w:customStyle="1">
    <w:name w:val="Текст примітки Знак"/>
    <w:basedOn w:val="721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5" w:customStyle="1">
    <w:name w:val="docdata"/>
    <w:basedOn w:val="721"/>
  </w:style>
  <w:style w:type="character" w:styleId="756" w:customStyle="1">
    <w:name w:val="Заголовок 3 Знак"/>
    <w:basedOn w:val="721"/>
    <w:link w:val="71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7" w:customStyle="1">
    <w:name w:val="Заголовок 4 Знак"/>
    <w:basedOn w:val="721"/>
    <w:link w:val="72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8" w:customStyle="1">
    <w:name w:val="name-spec"/>
    <w:basedOn w:val="7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9" w:customStyle="1">
    <w:name w:val="cont-spec"/>
    <w:basedOn w:val="7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0">
    <w:name w:val="Strong"/>
    <w:basedOn w:val="721"/>
    <w:uiPriority w:val="22"/>
    <w:qFormat/>
    <w:rPr>
      <w:b/>
      <w:bCs/>
    </w:rPr>
  </w:style>
  <w:style w:type="paragraph" w:styleId="761" w:customStyle="1">
    <w:name w:val="Table Paragraph"/>
    <w:basedOn w:val="71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762" w:customStyle="1">
    <w:name w:val="rvts0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154</cp:revision>
  <dcterms:created xsi:type="dcterms:W3CDTF">2022-11-01T12:47:00Z</dcterms:created>
  <dcterms:modified xsi:type="dcterms:W3CDTF">2024-03-07T15:36:04Z</dcterms:modified>
</cp:coreProperties>
</file>