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відновлення працездатності комплексів автоматичної фото-/</w:t>
      </w:r>
      <w:r>
        <w:rPr>
          <w:b w:val="0"/>
          <w:bCs w:val="0"/>
          <w:sz w:val="24"/>
          <w:szCs w:val="24"/>
        </w:rPr>
        <w:t xml:space="preserve">відеофіксації</w:t>
      </w:r>
      <w:r>
        <w:rPr>
          <w:b w:val="0"/>
          <w:bCs w:val="0"/>
          <w:sz w:val="24"/>
          <w:szCs w:val="24"/>
        </w:rPr>
        <w:t xml:space="preserve"> правопорушень у сфері безпеки дорожнього руху «КАСКАД» із серійними номерами </w:t>
      </w:r>
      <w:r>
        <w:rPr>
          <w:b w:val="0"/>
          <w:bCs w:val="0"/>
          <w:sz w:val="24"/>
          <w:szCs w:val="24"/>
          <w:shd w:val="clear" w:color="auto" w:fill="ffffff"/>
        </w:rPr>
        <w:t xml:space="preserve">034-1219, 042-1219, 071-1120, 086-1120, 181-1220, 182-1220, 183-1220, 184-1220, 185-1220, 186-1220, 187-1220, 188-1220, 189-1220, 190-1220, 191-1220, 192-1220, 193-1220, 194-1220</w:t>
      </w:r>
      <w:r>
        <w:rPr>
          <w:b w:val="0"/>
          <w:bCs w:val="0"/>
          <w:sz w:val="24"/>
          <w:szCs w:val="24"/>
        </w:rPr>
        <w:t xml:space="preserve"> за ДК 021:2015 : 50230000-6 Послуги з ремонту, технічного обслуговування дорожньої інфраструктури і пов’язаного обладнання та супутні послуги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10399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 відновлення працездатності комплексів автоматичної фото-/</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правопорушень у сфері безпеки дорожнього руху «КАСКАД» із серійними номерами </w:t>
      </w:r>
      <w:r>
        <w:rPr>
          <w:rFonts w:ascii="Times New Roman" w:hAnsi="Times New Roman" w:cs="Times New Roman"/>
          <w:sz w:val="24"/>
          <w:szCs w:val="24"/>
          <w:shd w:val="clear" w:color="auto" w:fill="ffffff"/>
        </w:rPr>
        <w:t xml:space="preserve">034-1219, 042-1219, 071-1120, 086-1120, 181-1220, 182-1220, 183-1220, 184-1220, 185-1220, 186-1220, 187-1220, 188-1220, 189-1220, 190-1220, 191-1220, 192-1220, 193-1220, 194-1220</w:t>
      </w:r>
      <w:r>
        <w:rPr>
          <w:rFonts w:ascii="Times New Roman" w:hAnsi="Times New Roman" w:cs="Times New Roman"/>
          <w:sz w:val="24"/>
          <w:szCs w:val="24"/>
        </w:rPr>
        <w:t xml:space="preserve"> за ДК 021:2015 : 50230000-6 Послуги з ремонту, технічного обслуговування дорожньої інфраструктури і пов’язаного обладнання та супутні послуги</w:t>
      </w:r>
      <w:r/>
    </w:p>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34"/>
        <w:jc w:val="center"/>
        <w:spacing w:before="0" w:beforeAutospacing="0" w:after="0" w:afterAutospacing="0"/>
        <w:shd w:val="clear" w:color="auto" w:fill="ffffff" w:themeFill="background1"/>
        <w:rPr>
          <w:color w:val="585858"/>
          <w:sz w:val="24"/>
          <w:szCs w:val="24"/>
        </w:rPr>
      </w:pPr>
      <w:r>
        <w:rPr>
          <w:sz w:val="24"/>
          <w:szCs w:val="24"/>
        </w:rPr>
        <w:t xml:space="preserve">Послуги з відновлення працездатності комплексів автоматичної фото-/</w:t>
      </w:r>
      <w:r>
        <w:rPr>
          <w:sz w:val="24"/>
          <w:szCs w:val="24"/>
        </w:rPr>
        <w:t xml:space="preserve">відеофіксації</w:t>
      </w:r>
      <w:r>
        <w:rPr>
          <w:sz w:val="24"/>
          <w:szCs w:val="24"/>
        </w:rPr>
        <w:t xml:space="preserve"> правопорушень у сфері безпеки дорожнього руху «КАСКАД» із серійними номерами </w:t>
      </w:r>
      <w:r>
        <w:rPr>
          <w:sz w:val="24"/>
          <w:szCs w:val="24"/>
          <w:u w:val="single"/>
          <w:shd w:val="clear" w:color="auto" w:fill="ffffff"/>
        </w:rPr>
        <w:t xml:space="preserve">034-1219, 042-1219, 071-1120, 086-1120, 181-1220, 182-1220, 183-1220, 184-1220, 185-1220, 186-1220, 187-1220, 188-1220, 189-1220, 190-1220, 191-1220, 192-1220, 193-1220, 194-1220</w:t>
      </w:r>
      <w:r>
        <w:rPr>
          <w:sz w:val="24"/>
          <w:szCs w:val="24"/>
        </w:rPr>
        <w:t xml:space="preserve"> за ДК 021:2015 : 50230000-6 Послуги з ремонту, технічного обслуговування дорожньої інфраструктури і пов’язаного обладнання та супутні послуги</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contextualSpacing/>
        <w:ind w:left="72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Загальна інформація</w:t>
      </w:r>
      <w:r/>
    </w:p>
    <w:p>
      <w:pPr>
        <w:contextualSpacing/>
        <w:ind w:left="720"/>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p>
    <w:p>
      <w:pPr>
        <w:contextualSpacing/>
        <w:ind w:firstLine="709"/>
        <w:jc w:val="both"/>
        <w:spacing w:after="0" w:line="240" w:lineRule="auto"/>
        <w:rPr>
          <w:rFonts w:ascii="Times New Roman" w:hAnsi="Times New Roman" w:eastAsia="Calibri" w:cs="Times New Roman"/>
          <w:bCs/>
          <w:sz w:val="24"/>
          <w:szCs w:val="24"/>
        </w:rPr>
      </w:pPr>
      <w:r/>
      <w:bookmarkStart w:id="0" w:name="_Hlk148428207"/>
      <w:r>
        <w:rPr>
          <w:rFonts w:ascii="Times New Roman" w:hAnsi="Times New Roman" w:eastAsia="Calibri" w:cs="Times New Roman"/>
          <w:bCs/>
          <w:sz w:val="24"/>
          <w:szCs w:val="24"/>
        </w:rPr>
        <w:t xml:space="preserve">Предметом закупівлі є послуги організаційних та технічних заходів, пов'язаних із забезпеченням працездатного стану «Комплексів автоматичної фото/</w:t>
      </w:r>
      <w:r>
        <w:rPr>
          <w:rFonts w:ascii="Times New Roman" w:hAnsi="Times New Roman" w:eastAsia="Calibri" w:cs="Times New Roman"/>
          <w:bCs/>
          <w:sz w:val="24"/>
          <w:szCs w:val="24"/>
        </w:rPr>
        <w:t xml:space="preserve">відеофіксації</w:t>
      </w:r>
      <w:r>
        <w:rPr>
          <w:rFonts w:ascii="Times New Roman" w:hAnsi="Times New Roman" w:eastAsia="Calibri" w:cs="Times New Roman"/>
          <w:bCs/>
          <w:sz w:val="24"/>
          <w:szCs w:val="24"/>
        </w:rPr>
        <w:t xml:space="preserve"> правопорушень у сфері безпеки дорожнього руху “КАСКАД”» (далі – Комплекс «КАСКАД»), які здійснюються шляхом надання послуг з ремонту відповідно до експлуатаційної докумен</w:t>
      </w:r>
      <w:r>
        <w:rPr>
          <w:rFonts w:ascii="Times New Roman" w:hAnsi="Times New Roman" w:eastAsia="Calibri" w:cs="Times New Roman"/>
          <w:bCs/>
          <w:sz w:val="24"/>
          <w:szCs w:val="24"/>
        </w:rPr>
        <w:t xml:space="preserve">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r/>
    </w:p>
    <w:p>
      <w:pPr>
        <w:ind w:firstLine="720"/>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Комплекс «КАСКАД» вироблений ТОВ «Українські системні інновації» та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w:t>
      </w:r>
      <w:r>
        <w:rPr>
          <w:rFonts w:ascii="Times New Roman" w:hAnsi="Times New Roman" w:cs="Times New Roman"/>
          <w:sz w:val="24"/>
          <w:szCs w:val="24"/>
          <w:lang w:eastAsia="uk-UA"/>
        </w:rPr>
        <w:t xml:space="preserve">знаків транспортних засобів та передачу інформації про зафіксовані події комунікаційними мережами до автоматизованої системи обробки даних МВС.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Ремонт проводиться з метою підтримання працездатного стану Комплексів «КАСКАД».</w:t>
      </w:r>
      <w:r/>
    </w:p>
    <w:p>
      <w:pPr>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 xml:space="preserve">Умови виконання робіт: в сервісному центрі, на місці встановлення.</w:t>
      </w:r>
      <w:r/>
    </w:p>
    <w:p>
      <w:pPr>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 xml:space="preserve">Термін виконання робіт: до 31 жовтня 2024 року.</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t xml:space="preserve">Об’єм робіт для кожного комплексу «КАСКАД»:</w:t>
      </w:r>
      <w:bookmarkEnd w:id="0"/>
      <w:r/>
      <w:r/>
    </w:p>
    <w:p>
      <w:pPr>
        <w:pStyle w:val="740"/>
        <w:numPr>
          <w:ilvl w:val="0"/>
          <w:numId w:val="45"/>
        </w:numPr>
        <w:jc w:val="center"/>
        <w:spacing w:after="0" w:line="240" w:lineRule="auto"/>
        <w:widowControl w:val="off"/>
        <w:rPr>
          <w:rFonts w:ascii="Times New Roman" w:hAnsi="Times New Roman" w:cs="Times New Roman"/>
          <w:b/>
          <w:bCs/>
          <w:sz w:val="24"/>
          <w:szCs w:val="24"/>
          <w:lang w:val="uk-UA"/>
        </w:rPr>
      </w:pPr>
      <w:r>
        <w:rPr>
          <w:rFonts w:ascii="Times New Roman" w:hAnsi="Times New Roman" w:cs="Times New Roman"/>
          <w:b/>
          <w:sz w:val="24"/>
          <w:szCs w:val="24"/>
          <w:lang w:val="uk-UA"/>
        </w:rPr>
        <w:t xml:space="preserve">Серійний номер Комплексу КАСКАД </w:t>
      </w:r>
      <w:r>
        <w:rPr>
          <w:rFonts w:ascii="Times New Roman" w:hAnsi="Times New Roman" w:cs="Times New Roman"/>
          <w:b/>
          <w:bCs/>
          <w:sz w:val="24"/>
          <w:szCs w:val="24"/>
          <w:lang w:val="uk-UA"/>
        </w:rPr>
        <w:t xml:space="preserve">034-1219</w:t>
      </w:r>
      <w:r/>
    </w:p>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275"/>
        <w:gridCol w:w="1418"/>
      </w:tblGrid>
      <w:tr>
        <w:trPr>
          <w:trHeight w:val="625"/>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5"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Заміна системи резервного живлення</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місці встановлення з монтажем та підключенням до інженерних мереж</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042-1219</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275"/>
        <w:gridCol w:w="1410"/>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41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місці встановлення з</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монтажем та підключенням до інженерних</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071-1120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417"/>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41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41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41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52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місці встановлення з монтажем та підключенням до інженерних мереж</w:t>
            </w:r>
            <w:r/>
          </w:p>
        </w:tc>
        <w:tc>
          <w:tcPr>
            <w:shd w:val="clear" w:color="auto" w:fill="auto"/>
            <w:tcW w:w="1417"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086-1120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521"/>
        <w:gridCol w:w="1275"/>
        <w:gridCol w:w="1410"/>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52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41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52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Телекомунікаційний блок</w:t>
            </w:r>
            <w:r/>
          </w:p>
        </w:tc>
        <w:tc>
          <w:tcPr>
            <w:shd w:val="clear" w:color="auto" w:fill="auto"/>
            <w:tcW w:w="1275"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шт.</w:t>
            </w:r>
            <w:r/>
          </w:p>
        </w:tc>
        <w:tc>
          <w:tcPr>
            <w:shd w:val="clear" w:color="auto" w:fill="auto"/>
            <w:tcW w:w="141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181-1220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662"/>
        <w:gridCol w:w="1276"/>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6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40"/>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662"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182-1220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662"/>
        <w:gridCol w:w="1276"/>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6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662"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183-1220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184-1220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185-1220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186-1220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187-1220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662"/>
        <w:gridCol w:w="1276"/>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6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662"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188-1220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189-1220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Заміна </w:t>
            </w:r>
            <w:r>
              <w:rPr>
                <w:rFonts w:ascii="Times New Roman" w:hAnsi="Times New Roman" w:cs="Times New Roman"/>
                <w:sz w:val="24"/>
                <w:szCs w:val="24"/>
                <w:lang w:val="en-US"/>
              </w:rPr>
              <w:t xml:space="preserve">VSM </w:t>
            </w:r>
            <w:r>
              <w:rPr>
                <w:rFonts w:ascii="Times New Roman" w:hAnsi="Times New Roman" w:cs="Times New Roman"/>
                <w:sz w:val="24"/>
                <w:szCs w:val="24"/>
              </w:rPr>
              <w:t xml:space="preserve">діоду</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190-1220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191-1220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192-1220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6804"/>
        <w:gridCol w:w="1276"/>
        <w:gridCol w:w="1276"/>
      </w:tblGrid>
      <w:tr>
        <w:trPr>
          <w:trHeight w:val="387"/>
        </w:trPr>
        <w:tc>
          <w:tcPr>
            <w:shd w:val="clear" w:color="auto" w:fill="auto"/>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8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444"/>
        </w:trPr>
        <w:tc>
          <w:tcPr>
            <w:shd w:val="clear" w:color="auto" w:fill="auto"/>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804"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193-1220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662"/>
        <w:gridCol w:w="1276"/>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6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662"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Заміна бленди камери</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Заміна акрилу лицьової панелі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740"/>
        <w:numPr>
          <w:ilvl w:val="0"/>
          <w:numId w:val="45"/>
        </w:numPr>
        <w:jc w:val="center"/>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Серійний номер Комплексу КАСКАД 194-1220</w:t>
      </w:r>
      <w:r/>
    </w:p>
    <w:p>
      <w:pPr>
        <w:pStyle w:val="740"/>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4"/>
        <w:gridCol w:w="6662"/>
        <w:gridCol w:w="1276"/>
        <w:gridCol w:w="1276"/>
      </w:tblGrid>
      <w:tr>
        <w:trPr>
          <w:trHeight w:val="387"/>
        </w:trPr>
        <w:tc>
          <w:tcPr>
            <w:shd w:val="clear" w:color="auto" w:fill="auto"/>
            <w:tcW w:w="7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shd w:val="clear" w:color="auto" w:fill="auto"/>
            <w:tcW w:w="66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266"/>
        </w:trPr>
        <w:tc>
          <w:tcPr>
            <w:gridSpan w:val="4"/>
            <w:shd w:val="clear" w:color="auto" w:fill="auto"/>
            <w:tcW w:w="991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1"/>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662"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Комплексне відновлення системи накопичення з заміною накопичувача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Налагодження та тестування комплексу в сервісному центрі</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Розробка технічного рішення згідно з новим місцем встановлення</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trHeight w:val="319"/>
        </w:trPr>
        <w:tc>
          <w:tcPr>
            <w:shd w:val="clear" w:color="auto" w:fill="auto"/>
            <w:tcW w:w="70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66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Встановлення та налагоджування обладнання на новому місці встановлення з монтажем та підключенням до інженерних мереж</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W w:w="12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bl>
    <w:p>
      <w:pPr>
        <w:rPr>
          <w:sz w:val="24"/>
          <w:szCs w:val="24"/>
        </w:rPr>
      </w:pPr>
      <w:r>
        <w:rPr>
          <w:sz w:val="24"/>
          <w:szCs w:val="24"/>
        </w:rPr>
      </w:r>
      <w:r/>
    </w:p>
    <w:p>
      <w:pPr>
        <w:jc w:val="both"/>
        <w:spacing w:after="0" w:line="240" w:lineRule="auto"/>
        <w:rPr>
          <w:rFonts w:ascii="Times New Roman" w:hAnsi="Times New Roman" w:eastAsia="Calibri" w:cs="Times New Roman"/>
          <w:b/>
          <w:bCs/>
          <w:i/>
          <w:iCs/>
          <w:sz w:val="24"/>
          <w:szCs w:val="24"/>
        </w:rPr>
      </w:pPr>
      <w:r>
        <w:rPr>
          <w:rFonts w:ascii="Times New Roman" w:hAnsi="Times New Roman" w:eastAsia="Calibri" w:cs="Times New Roman"/>
          <w:b/>
          <w:bCs/>
          <w:i/>
          <w:iCs/>
          <w:sz w:val="24"/>
          <w:szCs w:val="24"/>
        </w:rPr>
        <w:t xml:space="preserve">Надати </w:t>
      </w:r>
      <w:r>
        <w:rPr>
          <w:rFonts w:ascii="Times New Roman" w:hAnsi="Times New Roman" w:eastAsia="Calibri" w:cs="Times New Roman"/>
          <w:b/>
          <w:bCs/>
          <w:i/>
          <w:iCs/>
          <w:sz w:val="24"/>
          <w:szCs w:val="24"/>
        </w:rPr>
        <w:t xml:space="preserve">гарантійни</w:t>
      </w:r>
      <w:r>
        <w:rPr>
          <w:rFonts w:ascii="Times New Roman" w:hAnsi="Times New Roman" w:eastAsia="Calibri" w:cs="Times New Roman"/>
          <w:b/>
          <w:bCs/>
          <w:i/>
          <w:iCs/>
          <w:sz w:val="24"/>
          <w:szCs w:val="24"/>
        </w:rPr>
        <w:t xml:space="preserve"> листи у складі тендерної </w:t>
      </w:r>
      <w:r>
        <w:rPr>
          <w:rFonts w:ascii="Times New Roman" w:hAnsi="Times New Roman" w:eastAsia="Calibri" w:cs="Times New Roman"/>
          <w:b/>
          <w:bCs/>
          <w:i/>
          <w:iCs/>
          <w:sz w:val="24"/>
          <w:szCs w:val="24"/>
        </w:rPr>
        <w:t xml:space="preserve">пропохиції</w:t>
      </w:r>
      <w:r/>
    </w:p>
    <w:p>
      <w:pPr>
        <w:pStyle w:val="740"/>
        <w:numPr>
          <w:ilvl w:val="0"/>
          <w:numId w:val="43"/>
        </w:numPr>
        <w:ind w:left="567" w:hanging="283"/>
        <w:jc w:val="both"/>
        <w:spacing w:after="0" w:line="240" w:lineRule="auto"/>
        <w:tabs>
          <w:tab w:val="left" w:pos="540" w:leader="none"/>
          <w:tab w:val="left" w:pos="684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повинен мати відповідні дозвільні документи на надання послуг, згідно з умовами Договору.</w:t>
      </w:r>
      <w:r/>
    </w:p>
    <w:p>
      <w:pPr>
        <w:pStyle w:val="740"/>
        <w:numPr>
          <w:ilvl w:val="0"/>
          <w:numId w:val="43"/>
        </w:numPr>
        <w:jc w:val="both"/>
        <w:spacing w:after="0" w:line="240" w:lineRule="auto"/>
        <w:tabs>
          <w:tab w:val="left" w:pos="0" w:leader="none"/>
          <w:tab w:val="left" w:pos="684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гарантує, що якість ремонтних робіт відповідає затвердженим нормам якості та вимогам.</w:t>
      </w:r>
      <w:r/>
    </w:p>
    <w:p>
      <w:pPr>
        <w:pStyle w:val="740"/>
        <w:numPr>
          <w:ilvl w:val="0"/>
          <w:numId w:val="43"/>
        </w:numPr>
        <w:jc w:val="both"/>
        <w:spacing w:after="0" w:line="240" w:lineRule="auto"/>
        <w:tabs>
          <w:tab w:val="left" w:pos="709"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Гарантійний термін експлуатації після проведення послуг з ремонту, протягом якого гарантується його працездатний стан за умови дотримання Замовником вимог інструкції по експлуатації.</w:t>
      </w:r>
      <w:r/>
    </w:p>
    <w:p>
      <w:pPr>
        <w:pStyle w:val="740"/>
        <w:numPr>
          <w:ilvl w:val="0"/>
          <w:numId w:val="43"/>
        </w:numPr>
        <w:jc w:val="both"/>
        <w:spacing w:after="0" w:line="240" w:lineRule="auto"/>
        <w:tabs>
          <w:tab w:val="left" w:pos="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На вимогу Замовника, Учасник, при надані послуг надає завірені копії документів, які засвідчують якісні, технічні характеристики</w:t>
      </w:r>
      <w:r>
        <w:rPr>
          <w:rFonts w:ascii="Times New Roman" w:hAnsi="Times New Roman" w:cs="Times New Roman"/>
          <w:color w:val="222222"/>
          <w:sz w:val="24"/>
          <w:szCs w:val="24"/>
          <w:lang w:val="uk-UA"/>
        </w:rPr>
        <w:t xml:space="preserve"> елементів</w:t>
      </w:r>
      <w:r>
        <w:rPr>
          <w:rFonts w:ascii="Times New Roman" w:hAnsi="Times New Roman" w:cs="Times New Roman"/>
          <w:sz w:val="24"/>
          <w:szCs w:val="24"/>
          <w:lang w:val="uk-UA"/>
        </w:rPr>
        <w:t xml:space="preserve">, його походження (сертифікатів відповідності; паспортів якості; технічних паспортів, санітарно-епідеміологічних та гігієнічних висновків та/або інших відповідних документів передбачених законодавством для елементів даного типу).</w:t>
      </w:r>
      <w:r/>
    </w:p>
    <w:p>
      <w:pPr>
        <w:pStyle w:val="740"/>
        <w:numPr>
          <w:ilvl w:val="0"/>
          <w:numId w:val="43"/>
        </w:numPr>
        <w:jc w:val="both"/>
        <w:spacing w:after="0" w:line="240" w:lineRule="auto"/>
        <w:tabs>
          <w:tab w:val="left" w:pos="0" w:leader="none"/>
        </w:tabs>
        <w:rPr>
          <w:rFonts w:ascii="Times New Roman" w:hAnsi="Times New Roman" w:cs="Times New Roman"/>
          <w:sz w:val="24"/>
          <w:szCs w:val="24"/>
          <w:lang w:val="uk-UA"/>
        </w:rPr>
      </w:pPr>
      <w:r>
        <w:rPr>
          <w:rFonts w:ascii="Times New Roman" w:hAnsi="Times New Roman" w:cs="Times New Roman"/>
          <w:sz w:val="24"/>
          <w:szCs w:val="24"/>
          <w:lang w:val="uk-UA"/>
        </w:rPr>
        <w:t xml:space="preserve">Учасник повинен включити у вартість послуг матеріали, устаткування та запасні частини необхідні для виконання послуг. </w:t>
      </w:r>
      <w:r/>
    </w:p>
    <w:p>
      <w:pPr>
        <w:contextualSpacing/>
        <w:ind w:left="284"/>
        <w:jc w:val="both"/>
        <w:spacing w:after="0"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p>
    <w:p>
      <w:pPr>
        <w:contextualSpacing/>
        <w:ind w:left="284"/>
        <w:jc w:val="both"/>
        <w:spacing w:after="0"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t xml:space="preserve">Вимоги щодо якості надання послуг:</w:t>
      </w:r>
      <w:r/>
    </w:p>
    <w:p>
      <w:pPr>
        <w:contextualSpacing/>
        <w:ind w:left="284"/>
        <w:jc w:val="both"/>
        <w:spacing w:after="0" w:line="240" w:lineRule="auto"/>
        <w:shd w:val="clear" w:color="auto" w:fill="ffffff"/>
        <w:rPr>
          <w:rFonts w:ascii="Times New Roman" w:hAnsi="Times New Roman" w:cs="Times New Roman"/>
          <w:b/>
          <w:sz w:val="24"/>
          <w:szCs w:val="24"/>
        </w:rPr>
      </w:pPr>
      <w:r>
        <w:rPr>
          <w:rFonts w:ascii="Times New Roman" w:hAnsi="Times New Roman" w:cs="Times New Roman"/>
          <w:b/>
          <w:sz w:val="24"/>
          <w:szCs w:val="24"/>
        </w:rPr>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Послуги з ремонту повинні забезпечувати безвідмовну роботу комплексів «КАСКАД». </w:t>
      </w:r>
      <w:r>
        <w:rPr>
          <w:rFonts w:ascii="Times New Roman" w:hAnsi="Times New Roman" w:cs="Times New Roman"/>
          <w:b/>
          <w:bCs/>
          <w:i/>
          <w:iCs/>
          <w:sz w:val="24"/>
          <w:szCs w:val="24"/>
        </w:rPr>
        <w:t xml:space="preserve">(надати гарантійний лист)</w:t>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ВИКОНАВЕЦЬ гарантує якість наданих послуг протягом 12 (дванадцяти) місяців. </w:t>
      </w:r>
      <w:r>
        <w:rPr>
          <w:rFonts w:ascii="Times New Roman" w:hAnsi="Times New Roman" w:cs="Times New Roman"/>
          <w:b/>
          <w:bCs/>
          <w:i/>
          <w:iCs/>
          <w:sz w:val="24"/>
          <w:szCs w:val="24"/>
        </w:rPr>
        <w:t xml:space="preserve">(надати гарантійний лист)</w:t>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У разі виявлення недоліків по якості наданих послуг ВИКОНАВЕЦЬ повинен усунути їх за власний рахунок у термін 5 (п’ять) робочих днів від дати подання письмової заявки від ЗАМОВНИКА. </w:t>
      </w:r>
      <w:r>
        <w:rPr>
          <w:rFonts w:ascii="Times New Roman" w:hAnsi="Times New Roman" w:cs="Times New Roman"/>
          <w:b/>
          <w:bCs/>
          <w:i/>
          <w:iCs/>
          <w:sz w:val="24"/>
          <w:szCs w:val="24"/>
        </w:rPr>
        <w:t xml:space="preserve">(надати гарантійний лист)</w:t>
      </w:r>
      <w:r/>
    </w:p>
    <w:p>
      <w:pPr>
        <w:numPr>
          <w:ilvl w:val="1"/>
          <w:numId w:val="44"/>
        </w:numPr>
        <w:contextualSpacing/>
        <w:ind w:left="284"/>
        <w:jc w:val="both"/>
        <w:spacing w:after="0" w:line="240" w:lineRule="auto"/>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Умови виконання робіт: в сервісному центрі та/або на місці встановлення комплексів «КАСКАД». </w:t>
      </w:r>
      <w:r>
        <w:rPr>
          <w:rFonts w:ascii="Times New Roman" w:hAnsi="Times New Roman" w:cs="Times New Roman"/>
          <w:b/>
          <w:bCs/>
          <w:i/>
          <w:iCs/>
          <w:sz w:val="24"/>
          <w:szCs w:val="24"/>
        </w:rPr>
        <w:t xml:space="preserve">(надати гарантійний лист)</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Демонтаж комплексів «КАСКАД» відбувається за рахунок Виконавця </w:t>
      </w:r>
      <w:r>
        <w:rPr>
          <w:rFonts w:ascii="Times New Roman" w:hAnsi="Times New Roman" w:cs="Times New Roman"/>
          <w:b/>
          <w:bCs/>
          <w:i/>
          <w:iCs/>
          <w:sz w:val="24"/>
          <w:szCs w:val="24"/>
        </w:rPr>
        <w:t xml:space="preserve">(надати гарантійний лист)</w:t>
      </w:r>
      <w:r>
        <w:rPr>
          <w:rFonts w:ascii="Times New Roman" w:hAnsi="Times New Roman" w:cs="Times New Roman"/>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640 452,22</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шістсот сорок тисяч чотириста п’ятдесят дві гривні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22</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sz w:val="24"/>
          <w:szCs w:val="24"/>
          <w:lang w:eastAsia="ru-RU"/>
        </w:rPr>
        <w:t xml:space="preserve">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19"/>
  </w:num>
  <w:num w:numId="3">
    <w:abstractNumId w:val="8"/>
  </w:num>
  <w:num w:numId="4">
    <w:abstractNumId w:val="30"/>
  </w:num>
  <w:num w:numId="5">
    <w:abstractNumId w:val="7"/>
  </w:num>
  <w:num w:numId="6">
    <w:abstractNumId w:val="37"/>
  </w:num>
  <w:num w:numId="7">
    <w:abstractNumId w:val="11"/>
  </w:num>
  <w:num w:numId="8">
    <w:abstractNumId w:val="39"/>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8"/>
  </w:num>
  <w:num w:numId="17">
    <w:abstractNumId w:val="1"/>
  </w:num>
  <w:num w:numId="18">
    <w:abstractNumId w:val="43"/>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2"/>
  </w:num>
  <w:num w:numId="25">
    <w:abstractNumId w:val="21"/>
  </w:num>
  <w:num w:numId="26">
    <w:abstractNumId w:val="27"/>
  </w:num>
  <w:num w:numId="27">
    <w:abstractNumId w:val="34"/>
  </w:num>
  <w:num w:numId="28">
    <w:abstractNumId w:val="24"/>
  </w:num>
  <w:num w:numId="29">
    <w:abstractNumId w:val="35"/>
  </w:num>
  <w:num w:numId="30">
    <w:abstractNumId w:val="18"/>
  </w:num>
  <w:num w:numId="31">
    <w:abstractNumId w:val="3"/>
  </w:num>
  <w:num w:numId="32">
    <w:abstractNumId w:val="20"/>
  </w:num>
  <w:num w:numId="33">
    <w:abstractNumId w:val="17"/>
  </w:num>
  <w:num w:numId="34">
    <w:abstractNumId w:val="14"/>
  </w:num>
  <w:num w:numId="35">
    <w:abstractNumId w:val="41"/>
  </w:num>
  <w:num w:numId="36">
    <w:abstractNumId w:val="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2"/>
  </w:num>
  <w:num w:numId="43">
    <w:abstractNumId w:val="16"/>
  </w:num>
  <w:num w:numId="44">
    <w:abstractNumId w:val="23"/>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2024-06-25T11:56:24Z</dcterms:modified>
</cp:coreProperties>
</file>