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9615905"/>
      <w:r>
        <w:rPr>
          <w:b w:val="0"/>
          <w:bCs w:val="0"/>
          <w:sz w:val="24"/>
          <w:szCs w:val="24"/>
        </w:rPr>
        <w:t xml:space="preserve">Закупівля офісних металевих шаф за ДК 021:2015: 44420000-0 </w:t>
      </w:r>
      <w:bookmarkEnd w:id="0"/>
      <w:r>
        <w:rPr>
          <w:b w:val="0"/>
          <w:bCs w:val="0"/>
          <w:sz w:val="24"/>
          <w:szCs w:val="24"/>
        </w:rPr>
        <w:t xml:space="preserve">Будівельні товари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8167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color w:val="000000"/>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bookmarkStart w:id="1" w:name="_Hlk133583335"/>
      <w:r>
        <w:rPr>
          <w:rFonts w:ascii="Times New Roman" w:hAnsi="Times New Roman" w:cs="Times New Roman"/>
          <w:sz w:val="24"/>
          <w:szCs w:val="24"/>
        </w:rPr>
        <w:t xml:space="preserve">Закупівля офісних металевих шаф за ДК 021:2015: 44420000-0 Будівельні товари</w:t>
      </w:r>
      <w:bookmarkEnd w:id="1"/>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12"/>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14"/>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14"/>
              <w:jc w:val="center"/>
              <w:rPr>
                <w:b/>
                <w:bCs/>
                <w:lang w:val="ru-RU"/>
              </w:rPr>
            </w:pPr>
            <w:r>
              <w:rPr>
                <w:b/>
                <w:bCs/>
                <w:lang w:val="ru-RU"/>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14"/>
              <w:jc w:val="center"/>
              <w:rPr>
                <w:b/>
                <w:bCs/>
                <w:lang w:val="ru-RU"/>
              </w:rPr>
            </w:pPr>
            <w:r>
              <w:rPr>
                <w:b/>
                <w:bCs/>
                <w:lang w:val="ru-RU"/>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14"/>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14"/>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14"/>
              <w:rPr>
                <w:b/>
                <w:bCs/>
                <w:lang w:val="ru-RU"/>
              </w:rPr>
            </w:pPr>
            <w:r>
              <w:rPr>
                <w:rFonts w:eastAsia="Calibri"/>
                <w:b/>
                <w:bCs/>
                <w:lang w:val="ru-RU"/>
              </w:rPr>
              <w:t xml:space="preserve">Офісна металева шафа №1</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14"/>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14"/>
              <w:jc w:val="center"/>
              <w:rPr>
                <w:lang w:val="ru-RU"/>
              </w:rPr>
            </w:pPr>
            <w:r>
              <w:rPr>
                <w:b/>
                <w:lang w:val="ru-RU"/>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14"/>
              <w:jc w:val="center"/>
              <w:rPr>
                <w:b/>
                <w:bCs/>
                <w:lang w:val="ru-RU"/>
              </w:rPr>
            </w:pPr>
            <w:r>
              <w:rPr>
                <w:b/>
                <w:bCs/>
                <w:lang w:val="ru-RU"/>
              </w:rPr>
              <w:t xml:space="preserve">2</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14"/>
              <w:rPr>
                <w:rStyle w:val="741"/>
                <w:color w:val="000000"/>
                <w:shd w:val="clear" w:color="auto" w:fill="ffffff"/>
              </w:rPr>
            </w:pPr>
            <w:r>
              <w:rPr>
                <w:rFonts w:eastAsia="Calibri"/>
                <w:b/>
                <w:bCs/>
                <w:lang w:val="ru-RU"/>
              </w:rPr>
              <w:t xml:space="preserve">Офісна металева шафа №2</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14"/>
              <w:jc w:val="cente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14"/>
              <w:jc w:val="center"/>
              <w:rPr>
                <w:b/>
                <w:lang w:val="ru-RU"/>
              </w:rPr>
            </w:pPr>
            <w:r>
              <w:rPr>
                <w:b/>
                <w:lang w:val="ru-RU"/>
              </w:rPr>
              <w:t xml:space="preserve">2</w:t>
            </w:r>
            <w:r/>
          </w:p>
        </w:tc>
      </w:tr>
    </w:tbl>
    <w:p>
      <w:pPr>
        <w:pStyle w:val="714"/>
        <w:jc w:val="both"/>
        <w:spacing w:after="0"/>
        <w:rPr>
          <w:rFonts w:eastAsia="Times New Roman"/>
          <w:b/>
          <w:bCs/>
          <w:i/>
          <w:iCs/>
          <w:lang w:eastAsia="ru-RU"/>
        </w:rPr>
      </w:pPr>
      <w:r>
        <w:rPr>
          <w:rFonts w:eastAsia="Times New Roman"/>
          <w:b/>
          <w:bCs/>
          <w:i/>
          <w:iCs/>
          <w:lang w:eastAsia="ru-RU"/>
        </w:rPr>
      </w:r>
      <w:r/>
    </w:p>
    <w:p>
      <w:pPr>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rFonts w:ascii="Times New Roman" w:hAnsi="Times New Roman" w:cs="Times New Roman"/>
          <w:b/>
          <w:bCs/>
          <w:i/>
          <w:iCs/>
          <w:sz w:val="24"/>
          <w:szCs w:val="24"/>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rFonts w:ascii="Times New Roman" w:hAnsi="Times New Roman" w:cs="Times New Roman"/>
          <w:b/>
          <w:bCs/>
          <w:i/>
          <w:iCs/>
          <w:sz w:val="24"/>
          <w:szCs w:val="24"/>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Фактом подання тендерної пропозиції учасник підтверджує відповідність своєї пропозиції технічним, якісним, кількісним, функці</w:t>
      </w:r>
      <w:r>
        <w:rPr>
          <w:rFonts w:ascii="Times New Roman" w:hAnsi="Times New Roman" w:cs="Times New Roman"/>
          <w:color w:val="000000"/>
          <w:sz w:val="24"/>
          <w:szCs w:val="24"/>
        </w:rPr>
        <w:t xml:space="preserve">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w:t>
      </w:r>
      <w:r/>
    </w:p>
    <w:p>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Вказані Учасником дані відповідно до пункту 7 Додатку 1 до Тендерної документації будуть додатково звірені на їх відповідність шляхом перевірки через відкриті джерела </w:t>
      </w:r>
      <w:r>
        <w:rPr>
          <w:rFonts w:ascii="Times New Roman" w:hAnsi="Times New Roman" w:cs="Times New Roman"/>
          <w:sz w:val="24"/>
          <w:szCs w:val="24"/>
          <w:lang w:eastAsia="uk-UA"/>
        </w:rPr>
        <w:t xml:space="preserve">у мережі інтернет та/або листом-запитом про підтвердження до офіційного виробника та/або його офіційного представника/представництва в Україні.</w:t>
      </w:r>
      <w:r/>
    </w:p>
    <w:p>
      <w:pPr>
        <w:ind w:firstLine="567"/>
        <w:jc w:val="both"/>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У разі відсутності зазначених вимог, Замовник залишає право відхилити пропозицію запропонованого товару. </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w:t>
      </w:r>
      <w:r>
        <w:rPr>
          <w:rFonts w:ascii="Times New Roman" w:hAnsi="Times New Roman" w:cs="Times New Roman"/>
          <w:sz w:val="24"/>
          <w:szCs w:val="24"/>
          <w:lang w:eastAsia="uk-UA"/>
        </w:rPr>
        <w:t xml:space="preserve">нструкція з експлуатації українською мовою, гарантійні талони, тощо.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Гарантія на товар повинна бути не менше гарантії виробника та складати не менше 12 (дванадцять) місяців (надати гарантійний лист).</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5. Замовник має право звернутися за підтвердженням інформації, н</w:t>
      </w:r>
      <w:r>
        <w:rPr>
          <w:rFonts w:ascii="Times New Roman" w:hAnsi="Times New Roman" w:cs="Times New Roman"/>
          <w:sz w:val="24"/>
          <w:szCs w:val="24"/>
          <w:lang w:eastAsia="uk-UA"/>
        </w:rPr>
        <w:t xml:space="preserve">аданої учасником/переможцем процедури закупівлі, до органів державної влади, підприємств, установ, організацій відповідно до їх компетенції. Також Замовник залишає за собою право перевірки технічних характеристик запропонованого товару у вільних джерелах у</w:t>
      </w:r>
      <w:r>
        <w:rPr>
          <w:rFonts w:ascii="Times New Roman" w:hAnsi="Times New Roman" w:cs="Times New Roman"/>
          <w:sz w:val="24"/>
          <w:szCs w:val="24"/>
          <w:lang w:eastAsia="uk-UA"/>
        </w:rPr>
        <w:t xml:space="preserve"> мережі інтернет та/або листом-запитом про підтвердження до офіційного виробника та/або його офіційного представника/представництва в Україні. Також Замовник залишає за собою право перевірки, чи підлягає запропонований товар офіційному гарантійному обслуго</w:t>
      </w:r>
      <w:r>
        <w:rPr>
          <w:rFonts w:ascii="Times New Roman" w:hAnsi="Times New Roman" w:cs="Times New Roman"/>
          <w:sz w:val="24"/>
          <w:szCs w:val="24"/>
          <w:lang w:eastAsia="uk-UA"/>
        </w:rPr>
        <w:t xml:space="preserve">вуванню на території України. Якщо запропонований товар не офіційно ввезений на територію України та не підлягає гарантійному обслуговуванню, це призведе до відхилення тендерної пропозиції Учасника, як такої, що не відповідає умовам тендерної документації.</w:t>
      </w:r>
      <w:r/>
    </w:p>
    <w:p>
      <w:pPr>
        <w:ind w:left="14" w:firstLine="538"/>
        <w:jc w:val="both"/>
        <w:rPr>
          <w:rFonts w:ascii="Times New Roman" w:hAnsi="Times New Roman" w:cs="Times New Roman"/>
          <w:sz w:val="24"/>
          <w:szCs w:val="24"/>
          <w:lang w:val="ru-RU"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line="256"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line="256"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line="256"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line="256"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567"/>
        <w:jc w:val="both"/>
        <w:shd w:val="clear" w:color="auto" w:fill="ffffff"/>
        <w:rPr>
          <w:rFonts w:ascii="Times New Roman" w:hAnsi="Times New Roman" w:cs="Times New Roman"/>
          <w:sz w:val="24"/>
          <w:szCs w:val="24"/>
        </w:rPr>
      </w:pPr>
      <w:r>
        <w:rPr>
          <w:rFonts w:ascii="Times New Roman" w:hAnsi="Times New Roman" w:cs="Times New Roman"/>
          <w:sz w:val="24"/>
          <w:szCs w:val="24"/>
        </w:rPr>
        <w:t xml:space="preserve">Учасник попереджається, що будь-яке відхилення від запропонованих технічних характеристик предмету закупівлі у сторону їх погіршення або зменшення призведе до відхилення його тендерної пропозиції, як такої, що не відповідає умовам тендерної документації.</w:t>
      </w:r>
      <w:r/>
    </w:p>
    <w:p>
      <w:pPr>
        <w:pStyle w:val="710"/>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9"/>
        <w:gridCol w:w="7011"/>
        <w:gridCol w:w="917"/>
        <w:gridCol w:w="1177"/>
      </w:tblGrid>
      <w:tr>
        <w:trPr>
          <w:trHeight w:val="768"/>
        </w:trPr>
        <w:tc>
          <w:tcPr>
            <w:tcBorders>
              <w:top w:val="single" w:color="auto" w:sz="4" w:space="0"/>
              <w:left w:val="single" w:color="auto" w:sz="4" w:space="0"/>
              <w:bottom w:val="single" w:color="auto" w:sz="4" w:space="0"/>
              <w:right w:val="single" w:color="auto" w:sz="4" w:space="0"/>
            </w:tcBorders>
            <w:tcW w:w="529" w:type="dxa"/>
            <w:textDirection w:val="lrTb"/>
            <w:noWrap w:val="false"/>
          </w:tcPr>
          <w:p>
            <w:pPr>
              <w:pStyle w:val="730"/>
              <w:jc w:val="center"/>
              <w:spacing w:line="256" w:lineRule="auto"/>
              <w:rPr>
                <w:rFonts w:ascii="Times New Roman" w:hAnsi="Times New Roman"/>
                <w:sz w:val="24"/>
                <w:szCs w:val="24"/>
              </w:rPr>
            </w:pPr>
            <w:r>
              <w:rPr>
                <w:rFonts w:ascii="Times New Roman" w:hAnsi="Times New Roman"/>
                <w:sz w:val="24"/>
                <w:szCs w:val="24"/>
              </w:rPr>
              <w:t xml:space="preserve">№</w:t>
            </w:r>
            <w:r/>
          </w:p>
          <w:p>
            <w:pPr>
              <w:pStyle w:val="730"/>
              <w:jc w:val="center"/>
              <w:spacing w:line="256" w:lineRule="auto"/>
              <w:rPr>
                <w:rFonts w:ascii="Times New Roman" w:hAnsi="Times New Roman"/>
                <w:sz w:val="24"/>
                <w:szCs w:val="24"/>
              </w:rPr>
            </w:pPr>
            <w:r>
              <w:rPr>
                <w:rFonts w:ascii="Times New Roman" w:hAnsi="Times New Roman"/>
                <w:sz w:val="24"/>
                <w:szCs w:val="24"/>
              </w:rPr>
              <w:t xml:space="preserve">з/п</w:t>
            </w:r>
            <w:r/>
          </w:p>
        </w:tc>
        <w:tc>
          <w:tcPr>
            <w:tcBorders>
              <w:top w:val="single" w:color="auto" w:sz="4" w:space="0"/>
              <w:left w:val="single" w:color="auto" w:sz="4" w:space="0"/>
              <w:bottom w:val="single" w:color="auto" w:sz="4" w:space="0"/>
              <w:right w:val="single" w:color="auto" w:sz="4" w:space="0"/>
            </w:tcBorders>
            <w:tcW w:w="7011" w:type="dxa"/>
            <w:textDirection w:val="lrTb"/>
            <w:noWrap w:val="false"/>
          </w:tcPr>
          <w:p>
            <w:pPr>
              <w:pStyle w:val="730"/>
              <w:jc w:val="center"/>
              <w:spacing w:line="256" w:lineRule="auto"/>
              <w:rPr>
                <w:rFonts w:ascii="Times New Roman" w:hAnsi="Times New Roman"/>
                <w:sz w:val="24"/>
                <w:szCs w:val="24"/>
              </w:rPr>
            </w:pPr>
            <w:r>
              <w:rPr>
                <w:rFonts w:ascii="Times New Roman" w:hAnsi="Times New Roman"/>
                <w:sz w:val="24"/>
                <w:szCs w:val="24"/>
              </w:rPr>
              <w:t xml:space="preserve">Найменування обладнання</w:t>
            </w:r>
            <w:r/>
          </w:p>
        </w:tc>
        <w:tc>
          <w:tcPr>
            <w:tcBorders>
              <w:top w:val="single" w:color="auto" w:sz="4" w:space="0"/>
              <w:left w:val="single" w:color="auto" w:sz="4" w:space="0"/>
              <w:bottom w:val="single" w:color="auto" w:sz="4" w:space="0"/>
              <w:right w:val="single" w:color="auto" w:sz="4" w:space="0"/>
            </w:tcBorders>
            <w:tcW w:w="917" w:type="dxa"/>
            <w:textDirection w:val="lrTb"/>
            <w:noWrap w:val="false"/>
          </w:tcPr>
          <w:p>
            <w:pPr>
              <w:pStyle w:val="730"/>
              <w:jc w:val="center"/>
              <w:spacing w:line="256" w:lineRule="auto"/>
              <w:rPr>
                <w:rFonts w:ascii="Times New Roman" w:hAnsi="Times New Roman"/>
                <w:sz w:val="24"/>
                <w:szCs w:val="24"/>
              </w:rPr>
            </w:pPr>
            <w:r>
              <w:rPr>
                <w:rFonts w:ascii="Times New Roman" w:hAnsi="Times New Roman"/>
                <w:sz w:val="24"/>
                <w:szCs w:val="24"/>
              </w:rPr>
              <w:t xml:space="preserve">Од.</w:t>
            </w:r>
            <w:r/>
          </w:p>
          <w:p>
            <w:pPr>
              <w:pStyle w:val="730"/>
              <w:jc w:val="center"/>
              <w:spacing w:line="256" w:lineRule="auto"/>
              <w:rPr>
                <w:rFonts w:ascii="Times New Roman" w:hAnsi="Times New Roman"/>
                <w:sz w:val="24"/>
                <w:szCs w:val="24"/>
              </w:rPr>
            </w:pPr>
            <w:r>
              <w:rPr>
                <w:rFonts w:ascii="Times New Roman" w:hAnsi="Times New Roman"/>
                <w:sz w:val="24"/>
                <w:szCs w:val="24"/>
              </w:rPr>
              <w:t xml:space="preserve">виміру</w:t>
            </w:r>
            <w:r/>
          </w:p>
        </w:tc>
        <w:tc>
          <w:tcPr>
            <w:tcBorders>
              <w:top w:val="single" w:color="auto" w:sz="4" w:space="0"/>
              <w:left w:val="single" w:color="auto" w:sz="4" w:space="0"/>
              <w:bottom w:val="single" w:color="auto" w:sz="4" w:space="0"/>
              <w:right w:val="single" w:color="auto" w:sz="4" w:space="0"/>
            </w:tcBorders>
            <w:tcW w:w="1177" w:type="dxa"/>
            <w:textDirection w:val="lrTb"/>
            <w:noWrap w:val="false"/>
          </w:tcPr>
          <w:p>
            <w:pPr>
              <w:pStyle w:val="730"/>
              <w:jc w:val="center"/>
              <w:spacing w:line="256" w:lineRule="auto"/>
              <w:rPr>
                <w:rFonts w:ascii="Times New Roman" w:hAnsi="Times New Roman"/>
                <w:sz w:val="24"/>
                <w:szCs w:val="24"/>
              </w:rPr>
            </w:pPr>
            <w:r>
              <w:rPr>
                <w:rFonts w:ascii="Times New Roman" w:hAnsi="Times New Roman"/>
                <w:sz w:val="24"/>
                <w:szCs w:val="24"/>
              </w:rPr>
              <w:t xml:space="preserve">Кількість</w:t>
            </w:r>
            <w:r/>
          </w:p>
        </w:tc>
      </w:tr>
      <w:tr>
        <w:trPr>
          <w:trHeight w:val="409"/>
        </w:trPr>
        <w:tc>
          <w:tcPr>
            <w:tcBorders>
              <w:top w:val="single" w:color="auto" w:sz="4" w:space="0"/>
              <w:left w:val="single" w:color="auto" w:sz="4" w:space="0"/>
              <w:bottom w:val="single" w:color="auto" w:sz="4" w:space="0"/>
              <w:right w:val="single" w:color="auto" w:sz="4" w:space="0"/>
            </w:tcBorders>
            <w:tcW w:w="529" w:type="dxa"/>
            <w:vAlign w:val="center"/>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b/>
                <w:bCs/>
                <w:sz w:val="24"/>
                <w:szCs w:val="24"/>
              </w:rPr>
              <w:t xml:space="preserve">1</w:t>
            </w:r>
            <w:r/>
          </w:p>
        </w:tc>
        <w:tc>
          <w:tcPr>
            <w:tcBorders>
              <w:top w:val="single" w:color="auto" w:sz="4" w:space="0"/>
              <w:left w:val="single" w:color="auto" w:sz="4" w:space="0"/>
              <w:bottom w:val="single" w:color="auto" w:sz="4" w:space="0"/>
              <w:right w:val="single" w:color="auto" w:sz="4" w:space="0"/>
            </w:tcBorders>
            <w:tcW w:w="7011" w:type="dxa"/>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eastAsia="Calibri"/>
                <w:b/>
                <w:bCs/>
                <w:sz w:val="24"/>
                <w:szCs w:val="24"/>
              </w:rPr>
              <w:t xml:space="preserve">Офісна металева шафа №1</w:t>
            </w:r>
            <w:r/>
          </w:p>
        </w:tc>
        <w:tc>
          <w:tcPr>
            <w:tcBorders>
              <w:top w:val="single" w:color="auto" w:sz="4" w:space="0"/>
              <w:left w:val="single" w:color="auto" w:sz="4" w:space="0"/>
              <w:bottom w:val="single" w:color="auto" w:sz="4" w:space="0"/>
              <w:right w:val="single" w:color="auto" w:sz="4" w:space="0"/>
            </w:tcBorders>
            <w:tcW w:w="917" w:type="dxa"/>
            <w:vAlign w:val="center"/>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177" w:type="dxa"/>
            <w:vAlign w:val="center"/>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b/>
                <w:bCs/>
                <w:sz w:val="24"/>
                <w:szCs w:val="24"/>
              </w:rPr>
              <w:t xml:space="preserve">1</w:t>
            </w:r>
            <w:r/>
          </w:p>
        </w:tc>
      </w:tr>
      <w:tr>
        <w:trPr>
          <w:trHeight w:val="1266"/>
        </w:trPr>
        <w:tc>
          <w:tcPr>
            <w:gridSpan w:val="4"/>
            <w:tcBorders>
              <w:top w:val="single" w:color="auto" w:sz="4" w:space="0"/>
              <w:left w:val="single" w:color="auto" w:sz="4" w:space="0"/>
              <w:bottom w:val="single" w:color="auto" w:sz="4" w:space="0"/>
              <w:right w:val="single" w:color="auto" w:sz="4" w:space="0"/>
            </w:tcBorders>
            <w:tcW w:w="9634" w:type="dxa"/>
            <w:textDirection w:val="lrTb"/>
            <w:noWrap w:val="false"/>
          </w:tcPr>
          <w:p>
            <w:pPr>
              <w:spacing w:line="256" w:lineRule="auto"/>
              <w:rPr>
                <w:rFonts w:ascii="Times New Roman" w:hAnsi="Times New Roman" w:cs="Times New Roman"/>
                <w:sz w:val="24"/>
                <w:szCs w:val="24"/>
              </w:rPr>
            </w:pPr>
            <w:r>
              <w:rPr>
                <w:rFonts w:ascii="Times New Roman" w:hAnsi="Times New Roman" w:cs="Times New Roman"/>
                <w:sz w:val="24"/>
                <w:szCs w:val="24"/>
              </w:rPr>
              <w:t xml:space="preserve">Характеристики повинні бути не гірше ніж наведені нижче: </w:t>
            </w:r>
            <w:r/>
          </w:p>
          <w:p>
            <w:pPr>
              <w:spacing w:line="256" w:lineRule="auto"/>
              <w:rPr>
                <w:rFonts w:ascii="Times New Roman" w:hAnsi="Times New Roman" w:cs="Times New Roman"/>
                <w:sz w:val="24"/>
                <w:szCs w:val="24"/>
                <w:lang w:val="ru-RU"/>
              </w:rPr>
            </w:pPr>
            <w:r>
              <w:rPr>
                <w:rFonts w:ascii="Times New Roman" w:hAnsi="Times New Roman" w:cs="Times New Roman"/>
                <w:sz w:val="24"/>
                <w:szCs w:val="24"/>
              </w:rPr>
              <w:t xml:space="preserve">Зовнішні розміри, мм Висота - 1526 мм Ширина - 460 мм Глибина - 350 мм Внутрішні розміри, мм Висота - 1498 мм Ширина - 458 мм Гли</w:t>
            </w:r>
            <w:r>
              <w:rPr>
                <w:rFonts w:ascii="Times New Roman" w:hAnsi="Times New Roman" w:cs="Times New Roman"/>
                <w:sz w:val="24"/>
                <w:szCs w:val="24"/>
              </w:rPr>
              <w:t xml:space="preserve">бина - 327 мм Об'єм, л - 224,3 Маса, кг - 48 Товщина металу корпусу, мм - 1,2 Товщина металу дверей, мм - 1,2 Система замикання - ригельна система (2 хромованих активних ригелі, що обертаються, діаметр ригеля 16 мм) Тип замка - ключовий сувальдний замок Ти</w:t>
            </w:r>
            <w:r>
              <w:rPr>
                <w:rFonts w:ascii="Times New Roman" w:hAnsi="Times New Roman" w:cs="Times New Roman"/>
                <w:sz w:val="24"/>
                <w:szCs w:val="24"/>
              </w:rPr>
              <w:t xml:space="preserve">п покриття - порошкове покриття Колір - сірий (RAL 7040) Стандартна комплектація Каса - 1 Полиці - 2 Доповнення - анкерні вузли для кріплення сейфа до підлоги; 3 окремі секції, які замикаються на замок. Гарантія на товар - 5 років Гарантія на замок - 1 рік</w:t>
            </w:r>
            <w:r/>
          </w:p>
          <w:p>
            <w:pPr>
              <w:spacing w:line="256"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2133600" cy="36480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r/>
                            </pic:nvPicPr>
                            <pic:blipFill>
                              <a:blip r:embed="rId11"/>
                              <a:stretch/>
                            </pic:blipFill>
                            <pic:spPr bwMode="auto">
                              <a:xfrm>
                                <a:off x="0" y="0"/>
                                <a:ext cx="2133600" cy="364807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8.0pt;height:287.2pt;mso-wrap-distance-left:0.0pt;mso-wrap-distance-top:0.0pt;mso-wrap-distance-right:0.0pt;mso-wrap-distance-bottom:0.0pt;" stroked="f">
                      <v:path textboxrect="0,0,0,0"/>
                      <v:imagedata r:id="rId11" o:title=""/>
                    </v:shape>
                  </w:pict>
                </mc:Fallback>
              </mc:AlternateContent>
            </w:r>
            <w:r/>
          </w:p>
        </w:tc>
      </w:tr>
      <w:tr>
        <w:trPr>
          <w:trHeight w:val="409"/>
        </w:trPr>
        <w:tc>
          <w:tcPr>
            <w:tcBorders>
              <w:top w:val="single" w:color="auto" w:sz="4" w:space="0"/>
              <w:left w:val="single" w:color="auto" w:sz="4" w:space="0"/>
              <w:bottom w:val="single" w:color="auto" w:sz="4" w:space="0"/>
              <w:right w:val="single" w:color="auto" w:sz="4" w:space="0"/>
            </w:tcBorders>
            <w:tcW w:w="529" w:type="dxa"/>
            <w:vAlign w:val="center"/>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b/>
                <w:bCs/>
                <w:sz w:val="24"/>
                <w:szCs w:val="24"/>
              </w:rPr>
              <w:t xml:space="preserve">2</w:t>
            </w:r>
            <w:r/>
          </w:p>
        </w:tc>
        <w:tc>
          <w:tcPr>
            <w:tcBorders>
              <w:top w:val="single" w:color="auto" w:sz="4" w:space="0"/>
              <w:left w:val="single" w:color="auto" w:sz="4" w:space="0"/>
              <w:bottom w:val="single" w:color="auto" w:sz="4" w:space="0"/>
              <w:right w:val="single" w:color="auto" w:sz="4" w:space="0"/>
            </w:tcBorders>
            <w:tcW w:w="7011" w:type="dxa"/>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eastAsia="Calibri"/>
                <w:b/>
                <w:bCs/>
                <w:sz w:val="24"/>
                <w:szCs w:val="24"/>
              </w:rPr>
              <w:t xml:space="preserve">Офісна металева шафа №2</w:t>
            </w:r>
            <w:r/>
          </w:p>
        </w:tc>
        <w:tc>
          <w:tcPr>
            <w:tcBorders>
              <w:top w:val="single" w:color="auto" w:sz="4" w:space="0"/>
              <w:left w:val="single" w:color="auto" w:sz="4" w:space="0"/>
              <w:bottom w:val="single" w:color="auto" w:sz="4" w:space="0"/>
              <w:right w:val="single" w:color="auto" w:sz="4" w:space="0"/>
            </w:tcBorders>
            <w:tcW w:w="917" w:type="dxa"/>
            <w:vAlign w:val="center"/>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sz w:val="24"/>
                <w:szCs w:val="24"/>
              </w:rPr>
              <w:t xml:space="preserve">шт.</w:t>
            </w:r>
            <w:r/>
          </w:p>
        </w:tc>
        <w:tc>
          <w:tcPr>
            <w:tcBorders>
              <w:top w:val="single" w:color="auto" w:sz="4" w:space="0"/>
              <w:left w:val="single" w:color="auto" w:sz="4" w:space="0"/>
              <w:bottom w:val="single" w:color="auto" w:sz="4" w:space="0"/>
              <w:right w:val="single" w:color="auto" w:sz="4" w:space="0"/>
            </w:tcBorders>
            <w:tcW w:w="1177" w:type="dxa"/>
            <w:vAlign w:val="center"/>
            <w:textDirection w:val="lrTb"/>
            <w:noWrap w:val="false"/>
          </w:tcPr>
          <w:p>
            <w:pPr>
              <w:pStyle w:val="730"/>
              <w:jc w:val="center"/>
              <w:spacing w:line="256" w:lineRule="auto"/>
              <w:rPr>
                <w:rFonts w:ascii="Times New Roman" w:hAnsi="Times New Roman"/>
                <w:b/>
                <w:bCs/>
                <w:sz w:val="24"/>
                <w:szCs w:val="24"/>
              </w:rPr>
            </w:pPr>
            <w:r>
              <w:rPr>
                <w:rFonts w:ascii="Times New Roman" w:hAnsi="Times New Roman"/>
                <w:b/>
                <w:bCs/>
                <w:sz w:val="24"/>
                <w:szCs w:val="24"/>
              </w:rPr>
              <w:t xml:space="preserve">2</w:t>
            </w:r>
            <w:r/>
          </w:p>
        </w:tc>
      </w:tr>
      <w:tr>
        <w:trPr>
          <w:trHeight w:val="1266"/>
        </w:trPr>
        <w:tc>
          <w:tcPr>
            <w:gridSpan w:val="4"/>
            <w:tcBorders>
              <w:top w:val="single" w:color="auto" w:sz="4" w:space="0"/>
              <w:left w:val="single" w:color="auto" w:sz="4" w:space="0"/>
              <w:bottom w:val="single" w:color="auto" w:sz="4" w:space="0"/>
              <w:right w:val="single" w:color="auto" w:sz="4" w:space="0"/>
            </w:tcBorders>
            <w:tcW w:w="9634" w:type="dxa"/>
            <w:textDirection w:val="lrTb"/>
            <w:noWrap w:val="false"/>
          </w:tcPr>
          <w:p>
            <w:pPr>
              <w:spacing w:line="256" w:lineRule="auto"/>
              <w:rPr>
                <w:rFonts w:ascii="Times New Roman" w:hAnsi="Times New Roman" w:cs="Times New Roman"/>
                <w:sz w:val="24"/>
                <w:szCs w:val="24"/>
              </w:rPr>
            </w:pPr>
            <w:r>
              <w:rPr>
                <w:rFonts w:ascii="Times New Roman" w:hAnsi="Times New Roman" w:cs="Times New Roman"/>
                <w:sz w:val="24"/>
                <w:szCs w:val="24"/>
              </w:rPr>
              <w:t xml:space="preserve">Характеристики повинні бути не гірше ніж наведені нижче: </w:t>
            </w:r>
            <w:r/>
          </w:p>
          <w:p>
            <w:pPr>
              <w:spacing w:line="256" w:lineRule="auto"/>
              <w:rPr>
                <w:rFonts w:ascii="Times New Roman" w:hAnsi="Times New Roman" w:cs="Times New Roman"/>
                <w:sz w:val="24"/>
                <w:szCs w:val="24"/>
                <w:lang w:val="ru-RU"/>
              </w:rPr>
            </w:pPr>
            <w:r>
              <w:rPr>
                <w:rFonts w:ascii="Times New Roman" w:hAnsi="Times New Roman" w:cs="Times New Roman"/>
                <w:sz w:val="24"/>
                <w:szCs w:val="24"/>
              </w:rPr>
              <w:t xml:space="preserve">Зовнішні розміри, мм Висота - 300 Ширина - 430 Глибина - 320 Внутрішні розміри, мм Висота - 294 Ширина - 424 Глибина - 249 Об'єм, л - 31 Маса, кг - 20 Товщина металу корпусу, мм - 2 Товщина металу дверей, мм - 5 Система замикання - ригельна си</w:t>
            </w:r>
            <w:r>
              <w:rPr>
                <w:rFonts w:ascii="Times New Roman" w:hAnsi="Times New Roman" w:cs="Times New Roman"/>
                <w:sz w:val="24"/>
                <w:szCs w:val="24"/>
              </w:rPr>
              <w:t xml:space="preserve">стема (2 хромованих активних ригелі, що обертаються, діаметр ригеля 25 мм) Тип замка - електронний кодовий GRIFFON 2.0 (Україна) Тип покриття - порошкове покриття Колір - антрацитово-сірий (RAL 7016) Стандартна комплектація Полиці - 1 Доповнення - анкерні </w:t>
            </w:r>
            <w:r>
              <w:rPr>
                <w:rFonts w:ascii="Times New Roman" w:hAnsi="Times New Roman" w:cs="Times New Roman"/>
                <w:sz w:val="24"/>
                <w:szCs w:val="24"/>
              </w:rPr>
              <w:t xml:space="preserve">вузли для кріплення сейфа до підлоги та стіни Гарантія на товар - 5 років Гарантія на замок - 1 рік</w:t>
            </w:r>
            <w:r/>
          </w:p>
          <w:p>
            <w:pPr>
              <w:spacing w:line="256"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2600325" cy="2181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pic:cNvPicPr>
                              <pic:nvPr/>
                            </pic:nvPicPr>
                            <pic:blipFill>
                              <a:blip r:embed="rId12"/>
                              <a:stretch/>
                            </pic:blipFill>
                            <pic:spPr bwMode="auto">
                              <a:xfrm>
                                <a:off x="0" y="0"/>
                                <a:ext cx="2600325" cy="21812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04.8pt;height:171.8pt;mso-wrap-distance-left:0.0pt;mso-wrap-distance-top:0.0pt;mso-wrap-distance-right:0.0pt;mso-wrap-distance-bottom:0.0pt;" stroked="f">
                      <v:path textboxrect="0,0,0,0"/>
                      <v:imagedata r:id="rId12" o:title=""/>
                    </v:shape>
                  </w:pict>
                </mc:Fallback>
              </mc:AlternateContent>
            </w:r>
            <w:r/>
          </w:p>
        </w:tc>
      </w:tr>
    </w:tbl>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76" w:lineRule="auto"/>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29 850,83</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двадцять дев’ять тисяч вісімсот п’ятдесят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34"/>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34"/>
    <w:qFormat/>
    <w:rPr>
      <w:rFonts w:ascii="Calibri" w:hAnsi="Calibri" w:eastAsia="Calibri" w:cs="Calibri"/>
      <w:lang w:eastAsia="zh-CN"/>
    </w:rPr>
  </w:style>
  <w:style w:type="table" w:styleId="712">
    <w:name w:val="Table Grid"/>
    <w:basedOn w:val="70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 w:type="character" w:styleId="741" w:customStyle="1">
    <w:name w:val="docdata"/>
    <w:basedOn w:val="707"/>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145</cp:revision>
  <dcterms:created xsi:type="dcterms:W3CDTF">2022-11-01T12:47:00Z</dcterms:created>
  <dcterms:modified xsi:type="dcterms:W3CDTF">2023-10-30T11:42:42Z</dcterms:modified>
</cp:coreProperties>
</file>