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Паперові рушники та туалетний папір за кодом CPV за ЄЗС ДК 021:2015 - 33760000-5 Туалетний папір, носові хустинки, рушники для рук і серветки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2479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Паперові рушники та туалетний папір</w:t>
      </w:r>
      <w:r/>
    </w:p>
    <w:p>
      <w:r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85"/>
              <w:rPr>
                <w:b/>
                <w:bCs/>
              </w:rPr>
            </w:pPr>
            <w:r>
              <w:rPr>
                <w:b/>
                <w:bCs/>
              </w:rPr>
              <w:t xml:space="preserve">Паперові рушники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пач</w:t>
            </w:r>
            <w:r>
              <w:rPr>
                <w:b/>
              </w:rPr>
              <w:t xml:space="preserve">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190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85"/>
              <w:rPr>
                <w:b/>
                <w:bCs/>
              </w:rPr>
            </w:pPr>
            <w:r>
              <w:rPr>
                <w:b/>
              </w:rPr>
              <w:t xml:space="preserve">Туалетний папір «Диво»</w:t>
            </w:r>
            <w:r>
              <w:t xml:space="preserve">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</w:pPr>
            <w:r>
              <w:rPr>
                <w:b/>
              </w:rPr>
              <w:t xml:space="preserve">уп</w:t>
            </w:r>
            <w:r>
              <w:rPr>
                <w:b/>
              </w:rPr>
              <w:t xml:space="preserve">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b/>
              </w:rPr>
            </w:pPr>
            <w:r>
              <w:rPr>
                <w:b/>
              </w:rPr>
              <w:t xml:space="preserve">15</w:t>
            </w:r>
            <w:r/>
          </w:p>
        </w:tc>
      </w:tr>
    </w:tbl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 (характеристики будуть порівнюватися із характеристиками на зазначений товар в Специфікації).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6. Учаснику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необхідщно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зазначити конкретну назву, марку, модель Товару, що пропонується для визначення замовником технічних характеристик Товару, що пропонується Учасником.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/>
      <w:bookmarkStart w:id="0" w:name="_Hlk134167948"/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</w:t>
      </w:r>
      <w:bookmarkStart w:id="1" w:name="_Hlk134167935"/>
      <w:r>
        <w:rPr>
          <w:rFonts w:ascii="Times New Roman" w:hAnsi="Times New Roman" w:cs="Times New Roman"/>
          <w:bCs/>
          <w:iCs/>
          <w:sz w:val="24"/>
          <w:szCs w:val="24"/>
        </w:rPr>
        <w:t xml:space="preserve">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bookmarkEnd w:id="0"/>
      <w:bookmarkEnd w:id="1"/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455"/>
        <w:gridCol w:w="6567"/>
        <w:gridCol w:w="1208"/>
        <w:gridCol w:w="1404"/>
      </w:tblGrid>
      <w:tr>
        <w:trPr/>
        <w:tc>
          <w:tcPr>
            <w:tcW w:w="45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bookmarkStart w:id="2" w:name="_Hlk134167923"/>
            <w:r/>
            <w:r/>
          </w:p>
        </w:tc>
        <w:tc>
          <w:tcPr>
            <w:tcW w:w="65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Паперові рушники 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190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tbl>
            <w:tblPr>
              <w:tblW w:w="58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39"/>
              <w:gridCol w:w="4111"/>
            </w:tblGrid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1597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70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Тип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4253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/>
                  <w:hyperlink r:id="rId11" w:tooltip="в листах" w:history="1">
                    <w:r>
                      <w:rPr>
                        <w:rStyle w:val="690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в листах</w:t>
                    </w:r>
                  </w:hyperlink>
                  <w:r/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1597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70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Тип складання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4253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/>
                  <w:hyperlink r:id="rId12" w:tooltip="Z-складання" w:history="1">
                    <w:r>
                      <w:rPr>
                        <w:rStyle w:val="690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Z-складання</w:t>
                    </w:r>
                  </w:hyperlink>
                  <w:r/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1597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70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Кількість шарів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4253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/>
                  <w:hyperlink r:id="rId13" w:tooltip="2 шари" w:history="1">
                    <w:r>
                      <w:rPr>
                        <w:rStyle w:val="690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2 шари</w:t>
                    </w:r>
                  </w:hyperlink>
                  <w:r/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1597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70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Кількість відривів/аркушів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4253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шт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1597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70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Перфорація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4253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21,5 х 24 см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1597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70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Упаковка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4253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поліетилен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1597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70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Колір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4253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білий</w:t>
                  </w:r>
                  <w:r/>
                </w:p>
              </w:tc>
            </w:tr>
          </w:tbl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Туалетний папір «Диво»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tbl>
            <w:tblPr>
              <w:tblW w:w="58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2"/>
              <w:gridCol w:w="3578"/>
            </w:tblGrid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70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Тип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/>
                  <w:hyperlink r:id="rId14" w:tooltip="побутовий рулон" w:history="1">
                    <w:r>
                      <w:rPr>
                        <w:rStyle w:val="690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побутовий рулон</w:t>
                    </w:r>
                  </w:hyperlink>
                  <w:r/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70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Кількість шарів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/>
                  <w:hyperlink r:id="rId15" w:tooltip="2 шари" w:history="1">
                    <w:r>
                      <w:rPr>
                        <w:rStyle w:val="690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2 шари</w:t>
                    </w:r>
                  </w:hyperlink>
                  <w:r/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70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Кількість відривів/аркушів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шт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70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Перфорація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11.5 см</w:t>
                  </w:r>
                  <w:r/>
                </w:p>
              </w:tc>
            </w:tr>
            <w:tr>
              <w:trPr>
                <w:trHeight w:val="533"/>
              </w:trPr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70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Кількість в упаковці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/>
                  <w:hyperlink r:id="rId16" w:tooltip="4 шт" w:history="1">
                    <w:r>
                      <w:rPr>
                        <w:rStyle w:val="690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Style w:val="690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шт</w:t>
                    </w:r>
                  </w:hyperlink>
                  <w:r/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120" w:type="dxa"/>
                    <w:right w:w="0" w:type="dxa"/>
                    <w:bottom w:w="0" w:type="dxa"/>
                  </w:tcMar>
                  <w:tcW w:w="3741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701"/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Упаковка</w:t>
                  </w:r>
                  <w:r/>
                </w:p>
              </w:tc>
              <w:tc>
                <w:tcPr>
                  <w:tcMar>
                    <w:left w:w="225" w:type="dxa"/>
                    <w:top w:w="120" w:type="dxa"/>
                    <w:right w:w="0" w:type="dxa"/>
                    <w:bottom w:w="0" w:type="dxa"/>
                  </w:tcMar>
                  <w:tcW w:w="9699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поліетилен</w:t>
                  </w:r>
                  <w:r/>
                </w:p>
              </w:tc>
            </w:tr>
          </w:tbl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70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Колір                       білий      </w:t>
            </w:r>
            <w:bookmarkEnd w:id="2"/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65 014,85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шістдесят п’ять тисяч чотирнадцять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34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701" w:customStyle="1">
    <w:name w:val="mr-white"/>
    <w:basedOn w:val="678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itbox.ua/ua/category/Paperovi_rushniki-c7991/filter=107447-86016587900/" TargetMode="External"/><Relationship Id="rId12" Type="http://schemas.openxmlformats.org/officeDocument/2006/relationships/hyperlink" Target="https://www.itbox.ua/ua/category/Paperovi_rushniki-c7991/filter=107448-86041834500/" TargetMode="External"/><Relationship Id="rId13" Type="http://schemas.openxmlformats.org/officeDocument/2006/relationships/hyperlink" Target="https://www.itbox.ua/ua/category/Paperovi_rushniki-c7991/filter=107449-86016588700/" TargetMode="External"/><Relationship Id="rId14" Type="http://schemas.openxmlformats.org/officeDocument/2006/relationships/hyperlink" Target="https://www.itbox.ua/ua/category/Tualetniy_papir-c7990/filter=114044-86031982600/" TargetMode="External"/><Relationship Id="rId15" Type="http://schemas.openxmlformats.org/officeDocument/2006/relationships/hyperlink" Target="https://www.itbox.ua/ua/category/Tualetniy_papir-c7990/filter=114047-86016588700/" TargetMode="External"/><Relationship Id="rId16" Type="http://schemas.openxmlformats.org/officeDocument/2006/relationships/hyperlink" Target="https://www.itbox.ua/ua/category/Tualetniy_papir-c7990/filter=107446-86016592900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82</cp:revision>
  <dcterms:created xsi:type="dcterms:W3CDTF">2022-11-01T12:47:00Z</dcterms:created>
  <dcterms:modified xsi:type="dcterms:W3CDTF">2023-05-19T11:08:40Z</dcterms:modified>
</cp:coreProperties>
</file>