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господарчих товарів за кодом CPV за ЄЗС ДК 021:2015 – 39220000-0 Кухонне приладдя, товари для дому та господарства і приладдя для закладів громадського харчування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003834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господарчих товарів за кодом CPV за ЄЗС ДК 021:2015 – 39220000-0 Кухонне приладдя, товари для дому та господарства і приладдя для закладів громадського харчування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b/>
                <w:bCs/>
              </w:rPr>
              <w:t xml:space="preserve">Швабра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Змінна насадна локшина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 xml:space="preserve">Змінна насадна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 xml:space="preserve">Губка (5шт в упаковці)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30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Учаснику необхідно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3" w:name="_Hlk134167923"/>
            <w:r/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Швабра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Швабра: призначення – універсальна (для пола, для вікон, для стін);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ручки – будь-який (телескопічна, цільна), ширина – 10-12 см, довжина – 40-44 см.,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довжина ручки – не менше 110 см, особливості – насадка підлогонатирач, матеріал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насадки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мікрофібра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матеріал ручки – метал, пластик.</w:t>
            </w:r>
            <w:bookmarkEnd w:id="3"/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Змінна насадна локшина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Змінна насадна на швабру (локшина): вид – змінна насадка; насадка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br/>
              <w:t xml:space="preserve">підлогонатирач; матеріал насадки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мікрофібра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; колір – будь-який; ширина – 10-12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br/>
              <w:t xml:space="preserve">см, довжина – 40-44 см.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Змінна насадна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Змінна насадка для швабри: вид – змінна насадка; насадка – підлогонатирач;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 насадки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мікрофібра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колір – будь-який; ширина – 10-12 см., довжина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40-44 см.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Губка (5шт в упаковці)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Губка для миття: призначення – для миття; тип – губка; матеріал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комбінований; кількість в упаковці – 5 шт.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6 221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шість тисяч двісті двадцять одна гривня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2023-12-13T21:39:03Z</dcterms:modified>
</cp:coreProperties>
</file>