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hyperlink r:id="rId11" w:tooltip="https://www.dzo.com.ua/tenders/17227183" w:history="1">
        <w:r>
          <w:rPr>
            <w:b w:val="0"/>
            <w:bCs w:val="0"/>
            <w:sz w:val="24"/>
            <w:szCs w:val="24"/>
          </w:rPr>
          <w:t xml:space="preserve"> Закупівля </w:t>
        </w:r>
        <w:r>
          <w:rPr>
            <w:b w:val="0"/>
            <w:bCs w:val="0"/>
            <w:color w:val="000000" w:themeColor="text1"/>
            <w:sz w:val="24"/>
            <w:szCs w:val="24"/>
          </w:rPr>
          <w:t xml:space="preserve">послуги з розгортання програмно-апаратного комплексу «Безпечна країна» </w:t>
        </w:r>
        <w:r>
          <w:rPr>
            <w:b w:val="0"/>
            <w:bCs w:val="0"/>
            <w:sz w:val="24"/>
            <w:szCs w:val="24"/>
          </w:rPr>
          <w:t xml:space="preserve"> за кодом CPV за ЄЗС ДК 021:2015: 72260000-5 </w:t>
        </w:r>
      </w:hyperlink>
      <w:r>
        <w:rPr>
          <w:b w:val="0"/>
          <w:bCs w:val="0"/>
          <w:sz w:val="24"/>
          <w:szCs w:val="24"/>
        </w:rPr>
        <w:t xml:space="preserve"> Послуги, пов’язані з програмним забезпеченням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002876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послуги з розгортання програмно-апаратного комплексу «Безпечна країна»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pStyle w:val="706"/>
        <w:jc w:val="center"/>
        <w:spacing w:before="0" w:beforeAutospacing="0" w:after="0" w:afterAutospacing="0"/>
        <w:shd w:val="clear" w:color="auto" w:fill="ffffff" w:themeFill="background1"/>
        <w:rPr>
          <w:color w:val="585858"/>
          <w:sz w:val="24"/>
          <w:szCs w:val="24"/>
          <w:u w:val="single"/>
        </w:rPr>
      </w:pPr>
      <w:r/>
      <w:hyperlink r:id="rId12" w:tooltip="https://www.dzo.com.ua/tenders/17227183" w:history="1">
        <w:r>
          <w:rPr>
            <w:sz w:val="24"/>
            <w:szCs w:val="24"/>
            <w:u w:val="single"/>
          </w:rPr>
          <w:t xml:space="preserve"> Закупівля </w:t>
        </w:r>
        <w:r>
          <w:rPr>
            <w:color w:val="000000" w:themeColor="text1"/>
            <w:sz w:val="24"/>
            <w:szCs w:val="24"/>
            <w:u w:val="single"/>
          </w:rPr>
          <w:t xml:space="preserve">послуги з розгортання програмно-апаратного комплексу «Безпечна країна» </w:t>
        </w:r>
        <w:r>
          <w:rPr>
            <w:sz w:val="24"/>
            <w:szCs w:val="24"/>
            <w:u w:val="single"/>
          </w:rPr>
          <w:t xml:space="preserve"> за кодом CPV за ЄЗС ДК 021:2015: 72260000-5 </w:t>
        </w:r>
        <w:r>
          <w:rPr>
            <w:sz w:val="24"/>
            <w:szCs w:val="24"/>
            <w:u w:val="single"/>
          </w:rPr>
          <w:t xml:space="preserve"> Послуги, пов’язані з програмним забезпеченням</w:t>
        </w:r>
        <w:r>
          <w:rPr>
            <w:rStyle w:val="719"/>
            <w:color w:val="000000"/>
            <w:sz w:val="24"/>
            <w:szCs w:val="24"/>
          </w:rPr>
          <w:t xml:space="preserve"> </w:t>
        </w:r>
      </w:hyperlink>
      <w:r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/>
    </w:p>
    <w:tbl>
      <w:tblPr>
        <w:tblW w:w="9340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837"/>
        <w:gridCol w:w="1442"/>
        <w:gridCol w:w="1236"/>
      </w:tblGrid>
      <w:tr>
        <w:trPr>
          <w:trHeight w:val="620"/>
        </w:trPr>
        <w:tc>
          <w:tcPr>
            <w:shd w:val="clear" w:color="auto" w:fill="auto"/>
            <w:tcW w:w="82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shd w:val="clear" w:color="auto" w:fill="auto"/>
            <w:tcW w:w="583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/>
          </w:p>
        </w:tc>
        <w:tc>
          <w:tcPr>
            <w:shd w:val="clear" w:color="auto" w:fill="auto"/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Од. виміру</w:t>
            </w:r>
            <w:r/>
          </w:p>
        </w:tc>
        <w:tc>
          <w:tcPr>
            <w:shd w:val="clear" w:color="auto" w:fill="auto"/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39"/>
        </w:trPr>
        <w:tc>
          <w:tcPr>
            <w:shd w:val="clear" w:color="auto" w:fill="auto"/>
            <w:tcW w:w="82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583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Послуга розгортання програмно-апаратного комплексу «Безпечна країна»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/>
          </w:p>
        </w:tc>
        <w:tc>
          <w:tcPr>
            <w:shd w:val="clear" w:color="auto" w:fill="auto"/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Технічні вимоги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Послуга розгортання програмно-апаратного комплексу «Безпечна країна»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Послуга з розгортання програмно-апаратного комплексу «Безпечна країна» включає в себе:</w:t>
      </w:r>
      <w:r/>
    </w:p>
    <w:p>
      <w:pPr>
        <w:pStyle w:val="710"/>
        <w:numPr>
          <w:ilvl w:val="0"/>
          <w:numId w:val="31"/>
        </w:num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Розгортання ІТ-інфраструктури</w:t>
      </w:r>
      <w:r/>
    </w:p>
    <w:p>
      <w:pPr>
        <w:pStyle w:val="710"/>
        <w:numPr>
          <w:ilvl w:val="0"/>
          <w:numId w:val="31"/>
        </w:num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Розгортання та запуск програмного комплексу Безпечна Країна:</w:t>
      </w:r>
      <w:r/>
    </w:p>
    <w:p>
      <w:pPr>
        <w:pStyle w:val="710"/>
        <w:numPr>
          <w:ilvl w:val="0"/>
          <w:numId w:val="31"/>
        </w:num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Додаткова розробка (в межах існуючого програмного забезпечення), згідно затвердженого ТЗ</w:t>
      </w:r>
      <w:r/>
    </w:p>
    <w:p>
      <w:pPr>
        <w:pStyle w:val="710"/>
        <w:numPr>
          <w:ilvl w:val="0"/>
          <w:numId w:val="31"/>
        </w:num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Інтеграція з Програмно-апаратним комплексом Міської інтеграційної платформи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</w:t>
      </w:r>
      <w:r/>
    </w:p>
    <w:p>
      <w:pPr>
        <w:pStyle w:val="710"/>
        <w:numPr>
          <w:ilvl w:val="0"/>
          <w:numId w:val="31"/>
        </w:num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Навчання співробітників Замовника</w:t>
      </w:r>
      <w:r/>
    </w:p>
    <w:p>
      <w:pPr>
        <w:pStyle w:val="710"/>
        <w:numPr>
          <w:ilvl w:val="0"/>
          <w:numId w:val="31"/>
        </w:numPr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Вирішення проблем 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troubleshooting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)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Загальні відомості про програмно-апаратний комплексу «Безпечна країна»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(далі – ПАК «Безпечна країна»)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Програмне забезпечення дозволяє персоналу, який займається питаннями охорони та безпеки, керувати технологіями, робочою силою, інцидентами та процедурами в повсякденній роботі та у надзвичайних ситуаціях.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Програмне забезпечення взаємодіє з усіма організаційними системами та пов'язує всіх кінцевих користувачів за допомогою веб-клієнта. Програмне забезпечення має готові інтеграції та окре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мі модулі для взаємодії зі стороннім ПО, системами та датчиками. Програмне забезпечення забезпечує організаційну сумісність та ефективне управління технологічними системами, а також захист інформації, безпеку, логістику в одній системі та одній базі даних.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Загальні характеристики ПАК «Безпечна країна»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Програмне забезпечення забезпечує функціонування територіально розподіленої системи в масштабах країни, а також повну взаємодію усіх органів влади, а також є гнучким та здатним до розширення, здатним в будь-який момент інтегрувати новий тип даних.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Програмне забезпечення не має обмежень у кількості користувачів та їх ролей.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outlineLvl w:val="0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Архітектура ПАК «Безпечна країна»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поділяється на три логічні рівні програмного забезпечення:</w:t>
      </w:r>
      <w:r/>
    </w:p>
    <w:p>
      <w:pPr>
        <w:pStyle w:val="710"/>
        <w:ind w:left="927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/>
      <w:bookmarkStart w:id="1" w:name="_Toc59019318"/>
      <w:r/>
      <w:r/>
    </w:p>
    <w:p>
      <w:pPr>
        <w:pStyle w:val="710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Зовнішній  — розширений інтерфейс користувача</w:t>
      </w:r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Комплекс технологій для оперативного реагування, система командно-адміністративного управління на основі Інтернет, адаптована до вимог користувача. Запускається на веб-клієнті для персонального комп'ютера (ПК) у центрі управління та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відеостіні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або на персональному планшеті/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ноутбуці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віддаленому посту.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Веб-портал має гнучку архітектуру і надає доступ для різних груп користувачів, наприклад: співробітники, служби, адміністратори, мешканці міста та інші, на основі єдиного порталу, який може видозмінюватись 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залежності від типу користувача, його рівню доступу, функціональних обов’язків та багатьох інших критеріїв. Також портал забезпечує функції  реєстрації відвідувачів, визначення часу та відвідуваності, інцидентів, завдань, оцінок, календаря діяльності тощо.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Програмне забезпечення забезпечує єдину точку входу як для користувачів так і для адміністраторів і мешканців міста, які повинні отримувати доступ до системи за допомогою мобільного застосунку. </w:t>
      </w:r>
      <w:bookmarkStart w:id="2" w:name="_Toc59019319"/>
      <w:r/>
      <w:r/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pStyle w:val="710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Логічний рівень — оброблення даних, робочий процес, встановлення пріоритетів та ескалація.</w:t>
      </w:r>
      <w:bookmarkEnd w:id="2"/>
      <w:r/>
      <w:r/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Система забезпечує наступні функції та відповідає таким критеріям:</w:t>
      </w:r>
      <w:r/>
    </w:p>
    <w:p>
      <w:pPr>
        <w:pStyle w:val="710"/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високий рівень гнучкості ;</w:t>
      </w:r>
      <w:r/>
    </w:p>
    <w:p>
      <w:pPr>
        <w:pStyle w:val="710"/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розширену обробку правил ;</w:t>
      </w:r>
      <w:r/>
    </w:p>
    <w:p>
      <w:pPr>
        <w:pStyle w:val="710"/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модуль автоматизованих дій для визначення рівня логіки адміністративної та  оперативної діяльності ; </w:t>
      </w:r>
      <w:r/>
    </w:p>
    <w:p>
      <w:pPr>
        <w:pStyle w:val="710"/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оцінка ефективності як окремих службовців, підрозділів ;</w:t>
      </w:r>
      <w:r/>
    </w:p>
    <w:p>
      <w:pPr>
        <w:pStyle w:val="710"/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налаштування індивідуальних правил ;</w:t>
      </w:r>
      <w:r/>
    </w:p>
    <w:p>
      <w:pPr>
        <w:pStyle w:val="710"/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менеджера робочих процесів та дерева рішень ;</w:t>
      </w:r>
      <w:r/>
    </w:p>
    <w:p>
      <w:pPr>
        <w:pStyle w:val="710"/>
        <w:numPr>
          <w:ilvl w:val="0"/>
          <w:numId w:val="23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визначення умов та результатів у логічній формі (якщо-та/або-тоді).</w:t>
      </w:r>
      <w:bookmarkStart w:id="3" w:name="_Toc59019320"/>
      <w:r/>
      <w:r/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pStyle w:val="710"/>
        <w:numPr>
          <w:ilvl w:val="0"/>
          <w:numId w:val="24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Рівень бази даних — для реєстрації та збереження всіх системних даних у всіх модулях та об'єктах</w:t>
      </w:r>
      <w:bookmarkEnd w:id="3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Управління системою є повністю надлишковою, безпечною та зашифровує критично важливі приватні дані відповідно до Загального регламенту ЄС щодо захисту даних (GDPR,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General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Protection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</w:t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/>
      <w:bookmarkStart w:id="4" w:name="_Toc58502352"/>
      <w:r/>
      <w:bookmarkStart w:id="5" w:name="_Toc58491939"/>
      <w:r/>
      <w:bookmarkStart w:id="6" w:name="_Toc58502351"/>
      <w:r/>
      <w:bookmarkStart w:id="7" w:name="_Toc58491938"/>
      <w:r/>
      <w:bookmarkStart w:id="8" w:name="_Toc58502350"/>
      <w:r/>
      <w:bookmarkStart w:id="9" w:name="_Toc58491937"/>
      <w:r/>
      <w:bookmarkStart w:id="10" w:name="_Toc59019321"/>
      <w:r/>
      <w:bookmarkEnd w:id="4"/>
      <w:r/>
      <w:bookmarkEnd w:id="5"/>
      <w:r/>
      <w:bookmarkEnd w:id="6"/>
      <w:r/>
      <w:bookmarkEnd w:id="7"/>
      <w:r/>
      <w:bookmarkEnd w:id="8"/>
      <w:r/>
      <w:bookmarkEnd w:id="9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Структура ПАК «Безпечна країна» та взаємодія між компонентами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Згідно концепції платформа «Безпечна країна» повинна бути побудований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трирівневою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моделлю (Центр - Регіон - Місцевий рівень (ОТГ)).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Відповідно архітектура  ПАК «Безпечна країна» має передбачати три</w:t>
      </w:r>
      <w:r>
        <w:rPr>
          <w:rFonts w:ascii="Times New Roman" w:hAnsi="Times New Roman" w:cs="Times New Roman"/>
          <w:sz w:val="24"/>
          <w:szCs w:val="24"/>
        </w:rPr>
        <w:t xml:space="preserve"> рівні:</w:t>
      </w:r>
      <w:r/>
    </w:p>
    <w:p>
      <w:pPr>
        <w:pStyle w:val="710"/>
        <w:numPr>
          <w:ilvl w:val="0"/>
          <w:numId w:val="30"/>
        </w:num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Центральний;</w:t>
      </w:r>
      <w:r/>
    </w:p>
    <w:p>
      <w:pPr>
        <w:pStyle w:val="710"/>
        <w:numPr>
          <w:ilvl w:val="0"/>
          <w:numId w:val="30"/>
        </w:num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Регіональний;</w:t>
      </w:r>
      <w:r/>
    </w:p>
    <w:p>
      <w:pPr>
        <w:pStyle w:val="710"/>
        <w:numPr>
          <w:ilvl w:val="0"/>
          <w:numId w:val="30"/>
        </w:numPr>
        <w:spacing w:before="120" w:after="0" w:line="240" w:lineRule="auto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Місцевий.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Дані для аналізу та статистики з регіонального рівня повинні передаватися для обробки на центральний рівень, а з місцевого – на регіональний.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outlineLvl w:val="0"/>
      </w:pPr>
      <w:r/>
      <w:bookmarkStart w:id="11" w:name="_Toc58502377"/>
      <w:r/>
      <w:bookmarkStart w:id="12" w:name="_Toc58502376"/>
      <w:r/>
      <w:bookmarkStart w:id="13" w:name="_Toc58502375"/>
      <w:r/>
      <w:bookmarkStart w:id="14" w:name="_Toc58502374"/>
      <w:r/>
      <w:bookmarkStart w:id="15" w:name="_Toc58502373"/>
      <w:r/>
      <w:bookmarkStart w:id="16" w:name="_Toc58502372"/>
      <w:r/>
      <w:bookmarkStart w:id="17" w:name="_Toc58502371"/>
      <w:r/>
      <w:bookmarkStart w:id="18" w:name="_Toc58502370"/>
      <w:r/>
      <w:bookmarkStart w:id="19" w:name="_Toc58502369"/>
      <w:r/>
      <w:bookmarkStart w:id="20" w:name="_Toc58502368"/>
      <w:r/>
      <w:bookmarkStart w:id="21" w:name="_Toc58502367"/>
      <w:r/>
      <w:bookmarkStart w:id="22" w:name="_Toc58502366"/>
      <w:r/>
      <w:bookmarkStart w:id="23" w:name="_Toc58502365"/>
      <w:r/>
      <w:bookmarkStart w:id="24" w:name="_Toc58502364"/>
      <w:r/>
      <w:bookmarkStart w:id="25" w:name="_Toc58502363"/>
      <w:r/>
      <w:bookmarkStart w:id="26" w:name="_Toc58502362"/>
      <w:r/>
      <w:bookmarkStart w:id="27" w:name="_Toc58502361"/>
      <w:r/>
      <w:bookmarkStart w:id="28" w:name="_Toc58502360"/>
      <w:r/>
      <w:bookmarkStart w:id="29" w:name="_Toc58502359"/>
      <w:r/>
      <w:bookmarkStart w:id="30" w:name="_Toc58502358"/>
      <w:r/>
      <w:bookmarkStart w:id="31" w:name="_Toc58502357"/>
      <w:r/>
      <w:bookmarkStart w:id="32" w:name="_Toc58502356"/>
      <w:r/>
      <w:bookmarkStart w:id="33" w:name="_Toc58502355"/>
      <w:r/>
      <w:bookmarkStart w:id="34" w:name="_Toc58502354"/>
      <w:r/>
      <w:bookmarkEnd w:id="10"/>
      <w:r/>
      <w:bookmarkEnd w:id="11"/>
      <w:r/>
      <w:bookmarkEnd w:id="12"/>
      <w:r/>
      <w:bookmarkEnd w:id="13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/>
      <w:bookmarkEnd w:id="20"/>
      <w:r/>
      <w:bookmarkEnd w:id="21"/>
      <w:r/>
      <w:bookmarkEnd w:id="22"/>
      <w:r/>
      <w:bookmarkEnd w:id="23"/>
      <w:r/>
      <w:bookmarkEnd w:id="24"/>
      <w:r/>
      <w:bookmarkEnd w:id="25"/>
      <w:r/>
      <w:bookmarkEnd w:id="26"/>
      <w:r/>
      <w:bookmarkEnd w:id="27"/>
      <w:r/>
      <w:bookmarkEnd w:id="28"/>
      <w:r/>
      <w:bookmarkEnd w:id="29"/>
      <w:r/>
      <w:bookmarkEnd w:id="30"/>
      <w:r/>
      <w:bookmarkEnd w:id="31"/>
      <w:r/>
      <w:bookmarkEnd w:id="32"/>
      <w:r/>
      <w:bookmarkEnd w:id="33"/>
      <w:r/>
      <w:bookmarkEnd w:id="34"/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Склад ПАК «Безпечна країна»</w:t>
      </w:r>
      <w:r/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ПАК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Безпечна країна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складається з двох взаємопов’язаних комплексів:</w:t>
      </w:r>
      <w:r/>
    </w:p>
    <w:p>
      <w:pPr>
        <w:pStyle w:val="710"/>
        <w:numPr>
          <w:ilvl w:val="0"/>
          <w:numId w:val="25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Програмний комплекс</w:t>
      </w:r>
      <w:r/>
    </w:p>
    <w:p>
      <w:pPr>
        <w:pStyle w:val="710"/>
        <w:numPr>
          <w:ilvl w:val="0"/>
          <w:numId w:val="25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Апаратний комплекс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Взаємозв’язок цих двох компонент дає можливість </w:t>
      </w:r>
      <w:r>
        <w:rPr>
          <w:rFonts w:ascii="Times New Roman" w:hAnsi="Times New Roman" w:cs="Times New Roman"/>
          <w:sz w:val="24"/>
          <w:szCs w:val="24"/>
        </w:rPr>
        <w:t xml:space="preserve">ПАК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Безпечна країна</w:t>
      </w:r>
      <w:r>
        <w:rPr>
          <w:rFonts w:ascii="Times New Roman" w:hAnsi="Times New Roman" w:cs="Times New Roman"/>
          <w:sz w:val="24"/>
          <w:szCs w:val="24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підтримувати ряд наступних функціональних можливостей з використанням модульної структури: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Інтегрований механізм командно-адміністративного управління з відкритою архітектурою з інтерфейсом програмування застосунків (API),</w:t>
      </w:r>
      <w:r>
        <w:rPr>
          <w:rFonts w:ascii="Times New Roman" w:hAnsi="Times New Roman" w:cs="Times New Roman"/>
          <w:sz w:val="24"/>
          <w:szCs w:val="24"/>
        </w:rPr>
        <w:t xml:space="preserve"> що забезпечує інтеграцію та злиття </w:t>
      </w:r>
      <w:r>
        <w:rPr>
          <w:rFonts w:ascii="Times New Roman" w:hAnsi="Times New Roman" w:cs="Times New Roman"/>
          <w:sz w:val="24"/>
          <w:szCs w:val="24"/>
        </w:rPr>
        <w:t xml:space="preserve">таких систем, як: система відеоспостереження, система сигналізації про несанкціоноване проникнення, система контролю доступу, система пожежної сигналізації, система публічних оголошень, система охорони периметру, радіолокаційна система, система управління </w:t>
      </w:r>
      <w:r>
        <w:rPr>
          <w:rFonts w:ascii="Times New Roman" w:hAnsi="Times New Roman" w:cs="Times New Roman"/>
          <w:sz w:val="24"/>
          <w:szCs w:val="24"/>
        </w:rPr>
        <w:t xml:space="preserve">дронами</w:t>
      </w:r>
      <w:r>
        <w:rPr>
          <w:rFonts w:ascii="Times New Roman" w:hAnsi="Times New Roman" w:cs="Times New Roman"/>
          <w:sz w:val="24"/>
          <w:szCs w:val="24"/>
        </w:rPr>
        <w:t xml:space="preserve">, інформаційно-комунікаційні технології, система IP-телефонії, SIP, система радіозв'язку, контролери будівель, системи </w:t>
      </w:r>
      <w:r>
        <w:rPr>
          <w:rFonts w:ascii="Times New Roman" w:hAnsi="Times New Roman" w:cs="Times New Roman"/>
          <w:sz w:val="24"/>
          <w:szCs w:val="24"/>
        </w:rPr>
        <w:t xml:space="preserve">кібербезпеки</w:t>
      </w:r>
      <w:r>
        <w:rPr>
          <w:rFonts w:ascii="Times New Roman" w:hAnsi="Times New Roman" w:cs="Times New Roman"/>
          <w:sz w:val="24"/>
          <w:szCs w:val="24"/>
        </w:rPr>
        <w:t xml:space="preserve">, система планування ресурсів підприємства (ERP), система управління відносинами з клієнтами (CRM), ІТ та зовнішні джерела даних, система розвідки та соціальні мере</w:t>
      </w:r>
      <w:r>
        <w:rPr>
          <w:rFonts w:ascii="Times New Roman" w:hAnsi="Times New Roman" w:cs="Times New Roman"/>
          <w:sz w:val="24"/>
          <w:szCs w:val="24"/>
        </w:rPr>
        <w:t xml:space="preserve">жі, а також всі інші сторонні системи. Включає складний обробник правил та систему управління датчиками для визначення робочих процесів та автоматизації. Інтерфейс API є доступний для третіх сторін для написання власних з’єднувачів для певних типів систем.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Управління відеоданими</w:t>
      </w:r>
      <w:r>
        <w:rPr>
          <w:rFonts w:ascii="Times New Roman" w:hAnsi="Times New Roman" w:cs="Times New Roman"/>
          <w:sz w:val="24"/>
          <w:szCs w:val="24"/>
        </w:rPr>
        <w:t xml:space="preserve"> — реалізує різні можливості для інтеграції систем управління відеоданими та відображення камер, включаючи відображення камер прямо з геоінформаційної системи (ГІС), через </w:t>
      </w:r>
      <w:r>
        <w:rPr>
          <w:rFonts w:ascii="Times New Roman" w:hAnsi="Times New Roman" w:cs="Times New Roman"/>
          <w:sz w:val="24"/>
          <w:szCs w:val="24"/>
        </w:rPr>
        <w:t xml:space="preserve">відеопанель</w:t>
      </w:r>
      <w:r>
        <w:rPr>
          <w:rFonts w:ascii="Times New Roman" w:hAnsi="Times New Roman" w:cs="Times New Roman"/>
          <w:sz w:val="24"/>
          <w:szCs w:val="24"/>
        </w:rPr>
        <w:t xml:space="preserve">, через виділену </w:t>
      </w:r>
      <w:r>
        <w:rPr>
          <w:rFonts w:ascii="Times New Roman" w:hAnsi="Times New Roman" w:cs="Times New Roman"/>
          <w:sz w:val="24"/>
          <w:szCs w:val="24"/>
        </w:rPr>
        <w:t xml:space="preserve">відеоматрицю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Сервер потокового відео</w:t>
      </w:r>
      <w:r>
        <w:rPr>
          <w:rFonts w:ascii="Times New Roman" w:hAnsi="Times New Roman" w:cs="Times New Roman"/>
          <w:sz w:val="24"/>
          <w:szCs w:val="24"/>
        </w:rPr>
        <w:t xml:space="preserve"> — для віддалених камер, що підключаються до багатоканального обробника потокового відео системи. Дозволяє переглядати наживо зображення цих камер будь-якому віддаленому користувачеві.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Обробник ГІС</w:t>
      </w:r>
      <w:r>
        <w:rPr>
          <w:rFonts w:ascii="Times New Roman" w:hAnsi="Times New Roman" w:cs="Times New Roman"/>
          <w:sz w:val="24"/>
          <w:szCs w:val="24"/>
        </w:rPr>
        <w:t xml:space="preserve"> — для управління </w:t>
      </w:r>
      <w:r>
        <w:rPr>
          <w:rFonts w:ascii="Times New Roman" w:hAnsi="Times New Roman" w:cs="Times New Roman"/>
          <w:sz w:val="24"/>
          <w:szCs w:val="24"/>
        </w:rPr>
        <w:t xml:space="preserve">динамічними рівнями даних з географічною прив'язкою, відстеження в режимі реального часу, а також для відображення, управління та активації даних пристроїв прямо з карти, відображення векторних та повітряних зображень, віртуальних огорож тощо. Двовимірна т</w:t>
      </w:r>
      <w:r>
        <w:rPr>
          <w:rFonts w:ascii="Times New Roman" w:hAnsi="Times New Roman" w:cs="Times New Roman"/>
          <w:sz w:val="24"/>
          <w:szCs w:val="24"/>
        </w:rPr>
        <w:t xml:space="preserve">а тривимірна компоновка об’єкта та поверхові плани — відображення всіх планів будівлі та креслень, поверхових планів, розташування датчиків та пристроїв тощо, включаючи підтримку тривимірного динамічного відображення будівлі з датчиками зовні та зсередини.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Система управління інцидентами</w:t>
      </w:r>
      <w:r>
        <w:rPr>
          <w:rFonts w:ascii="Times New Roman" w:hAnsi="Times New Roman" w:cs="Times New Roman"/>
          <w:sz w:val="24"/>
          <w:szCs w:val="24"/>
        </w:rPr>
        <w:t xml:space="preserve"> — для автоматичного повідомлення про інциденти, що дозволяє здійснювати зіставлення даних, злиття та аналіз із використанням шаблонів інцидентів, дерева сортування та ескалації для управління інцидентами.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Стандартні операційні процедури (SOP)</w:t>
      </w:r>
      <w:r>
        <w:rPr>
          <w:rFonts w:ascii="Times New Roman" w:hAnsi="Times New Roman" w:cs="Times New Roman"/>
          <w:sz w:val="24"/>
          <w:szCs w:val="24"/>
        </w:rPr>
        <w:t xml:space="preserve"> — протокол подій, робочий процес, управління процедурами та безперервність робочого процесу, що дозволяє автоматизувати процеси та розповсюджувати автоматизовані команди в інтегрованих підсистемах.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масового оповіщення — включає </w:t>
      </w:r>
      <w:r>
        <w:rPr>
          <w:rFonts w:ascii="Times New Roman" w:hAnsi="Times New Roman" w:cs="Times New Roman"/>
          <w:sz w:val="24"/>
          <w:szCs w:val="24"/>
        </w:rPr>
        <w:t xml:space="preserve">push</w:t>
      </w:r>
      <w:r>
        <w:rPr>
          <w:rFonts w:ascii="Times New Roman" w:hAnsi="Times New Roman" w:cs="Times New Roman"/>
          <w:sz w:val="24"/>
          <w:szCs w:val="24"/>
        </w:rPr>
        <w:t xml:space="preserve">-повідомлення, безкоштовну систему масової передачі повідомлень та електронну пошту.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Система бізнес-аналітики (BI)</w:t>
      </w:r>
      <w:r>
        <w:rPr>
          <w:rFonts w:ascii="Times New Roman" w:hAnsi="Times New Roman" w:cs="Times New Roman"/>
          <w:sz w:val="24"/>
          <w:szCs w:val="24"/>
        </w:rPr>
        <w:t xml:space="preserve"> — дозволяє отримувати звіти з динамічними даними на основі усіх накопичених даних системи, включаючи аналіз, тенденції та прогнози в реальному часі. Дозволяє вибирати будь-які статистичні дані, отримані від найдавніших до поточних записів.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Модуль організаційної ієрархії</w:t>
      </w:r>
      <w:r>
        <w:rPr>
          <w:rFonts w:ascii="Times New Roman" w:hAnsi="Times New Roman" w:cs="Times New Roman"/>
          <w:sz w:val="24"/>
          <w:szCs w:val="24"/>
        </w:rPr>
        <w:t xml:space="preserve"> — визначення локалізованого середовища на основі багатоклієнтської архітектури системи. Це локальні центри команд і центри обробки, які роз</w:t>
      </w:r>
      <w:r>
        <w:rPr>
          <w:rFonts w:ascii="Times New Roman" w:hAnsi="Times New Roman" w:cs="Times New Roman"/>
          <w:sz w:val="24"/>
          <w:szCs w:val="24"/>
        </w:rPr>
        <w:t xml:space="preserve">поділені на одному сервері та базі даних. Локальні командні центри мають своє власне середовище та доступ до своїх локальних ГІС, елементів інтеграції, а також датчиків, інцидентів, персоналу, дозволів тощо. Верхня організація може визначати вертикальну і </w:t>
      </w:r>
      <w:r>
        <w:rPr>
          <w:rFonts w:ascii="Times New Roman" w:hAnsi="Times New Roman" w:cs="Times New Roman"/>
          <w:sz w:val="24"/>
          <w:szCs w:val="24"/>
        </w:rPr>
        <w:t xml:space="preserve">горизонтальну структуру команд, а верхня команда може втручатися і отримувати доступ до інформації нижчих командних центрів під нею.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Календар діяльності</w:t>
      </w:r>
      <w:r>
        <w:rPr>
          <w:rFonts w:ascii="Times New Roman" w:hAnsi="Times New Roman" w:cs="Times New Roman"/>
          <w:sz w:val="24"/>
          <w:szCs w:val="24"/>
        </w:rPr>
        <w:t xml:space="preserve"> — дозволяє здійснювати створення та керування розпорядком дня та заздалегідь запланованими подіями, інтегрованими в модуль управління інцидентами, щоб забезпечити безперебійний потік даних подій, що стосуються інцидентів.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Управління датчиками та обробник правил з автоматизованими діями</w:t>
      </w:r>
      <w:r>
        <w:rPr>
          <w:rFonts w:ascii="Times New Roman" w:hAnsi="Times New Roman" w:cs="Times New Roman"/>
          <w:sz w:val="24"/>
          <w:szCs w:val="24"/>
        </w:rPr>
        <w:t xml:space="preserve"> — моніторинг даних датчиків, відображення датчик</w:t>
      </w:r>
      <w:r>
        <w:rPr>
          <w:rFonts w:ascii="Times New Roman" w:hAnsi="Times New Roman" w:cs="Times New Roman"/>
          <w:sz w:val="24"/>
          <w:szCs w:val="24"/>
        </w:rPr>
        <w:t xml:space="preserve">ів в ГІС або на двовимірній карті, управління датчиками за допомогою команд, створення простих або складних сценаріїв та визначення автоматизованих операцій за допомогою обробника правил, а також управління подіями, що надходять від інтеграційного сервера.</w:t>
      </w:r>
      <w:r/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/>
      <w:bookmarkStart w:id="35" w:name="_Hlk71271926"/>
      <w:r/>
      <w:r/>
    </w:p>
    <w:p>
      <w:pPr>
        <w:ind w:firstLine="567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Програмний комплекс складається з наступних компонент:</w:t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bookmarkEnd w:id="35"/>
      <w:r/>
    </w:p>
    <w:tbl>
      <w:tblPr>
        <w:tblStyle w:val="712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>
        <w:trPr/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керування інформацією та безпекою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OCTOPUS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SafeCountry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од.</w:t>
            </w:r>
            <w:r/>
          </w:p>
        </w:tc>
      </w:tr>
      <w:tr>
        <w:trPr/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керування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відеонаглядом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Milestone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XProtect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Corporate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License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Milestone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year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XProtect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Corporate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Base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License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2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Milestone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XProtect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Corporate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Device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License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1403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Milestone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year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Care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XProtect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Corporate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Device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License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1403 од.</w:t>
            </w:r>
            <w:r/>
          </w:p>
        </w:tc>
      </w:tr>
      <w:tr>
        <w:trPr/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розпізнавання обличь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BioSurveillance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NEXT – 15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BioSurveillance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Master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BioAlarm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BioCom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BioDatabase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BioMail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BioCompare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BioFinder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BioDatabase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100.000 осіб – 1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5Serv-05-HES3 – 1 од.</w:t>
            </w:r>
            <w:r/>
          </w:p>
        </w:tc>
      </w:tr>
      <w:tr>
        <w:trPr/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поведінкової аналітики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Incoresoft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VEZHA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Traffic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Analytics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100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Incoresoft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VEZHA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Traffic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People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50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Incoresoft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VEZHA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Crowds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People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50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Incoresoft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VEZHA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Object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Zone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100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Incoresoft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VEZHA HEAT MAP – 50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Incoresoft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VEZHA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Fire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Detect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50 од.</w:t>
            </w:r>
            <w:r/>
          </w:p>
        </w:tc>
      </w:tr>
      <w:tr>
        <w:trPr/>
        <w:tc>
          <w:tcPr>
            <w:tcW w:w="311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аналітики розслідувань</w:t>
            </w:r>
            <w:r/>
          </w:p>
        </w:tc>
        <w:tc>
          <w:tcPr>
            <w:tcW w:w="62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BriefCam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Insights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BriefCam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Camera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Add-on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300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BriefCam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RESPOND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Channel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Add-on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channels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Cameras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– 5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BriefCam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REVIEW/RESPOND User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Pack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Additional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Concurrent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User (1) – 1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BriefCam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RESEARCH User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Pack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Users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 (1 x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Editor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4 x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Viewer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– 1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BriefCam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Annual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Maintenance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Year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 од.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Апаратний комплекс складається з:</w:t>
      </w:r>
      <w:r/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tbl>
      <w:tblPr>
        <w:tblStyle w:val="712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>
        <w:trPr/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Сервер тип 1Д</w:t>
            </w:r>
            <w:r/>
          </w:p>
        </w:tc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Сервер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Lenovo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ThinkSystem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SR650 V2 – 6 од.</w:t>
            </w:r>
            <w:r/>
          </w:p>
        </w:tc>
      </w:tr>
      <w:tr>
        <w:trPr/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Сервер тип 2Д</w:t>
            </w:r>
            <w:r/>
          </w:p>
        </w:tc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Сервер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Dell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EMC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PowerEdge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R750 – 4 од.</w:t>
            </w:r>
            <w:r/>
          </w:p>
        </w:tc>
      </w:tr>
      <w:tr>
        <w:trPr/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зберігання даних тип 1К</w:t>
            </w:r>
            <w:r/>
          </w:p>
        </w:tc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зберігання даних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NetApp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FAS2750 -1 од.</w:t>
            </w:r>
            <w:r/>
          </w:p>
        </w:tc>
      </w:tr>
      <w:tr>
        <w:trPr/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зберігання даних тип 2К</w:t>
            </w:r>
            <w:r/>
          </w:p>
        </w:tc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зберігання даних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NetApp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E2800A – 1 од.</w:t>
            </w:r>
            <w:r/>
          </w:p>
        </w:tc>
      </w:tr>
      <w:tr>
        <w:trPr/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Програмна продукція віртуалізації з підсистемами моніторингу та управління</w:t>
            </w:r>
            <w:r/>
          </w:p>
        </w:tc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VMware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vSphere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Enterprise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Plus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processor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License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3Yr S&amp;S – 20 од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VMware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vCenter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Server 7 Standard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vSphere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Instance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License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3Yr – 1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Veeam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Availability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Suite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Perpetual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Universal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License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years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of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production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support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included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 од.</w:t>
            </w:r>
            <w:r/>
          </w:p>
        </w:tc>
      </w:tr>
      <w:tr>
        <w:trPr/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Мережева фабрика тип 1Д</w:t>
            </w:r>
            <w:r/>
          </w:p>
        </w:tc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Комплект мережевих контролерів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Cisco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APIC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Cluster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with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virtual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APIC – 1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Мережевий комутатор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Cisco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Nexus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N9K-C9332C – 2 од.</w:t>
            </w:r>
            <w:r/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Мережевий комутатор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Cisco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Nexus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N9K-C93180YC-FX – 2 од.</w:t>
            </w:r>
            <w:r/>
          </w:p>
        </w:tc>
      </w:tr>
      <w:tr>
        <w:trPr/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Мережевий комутатор тип 1К</w:t>
            </w:r>
            <w:r/>
          </w:p>
        </w:tc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Мережевий комутатор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Cisco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Nexus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N9K-C93180YC-EX-24 – 2 од.</w:t>
            </w:r>
            <w:r/>
          </w:p>
        </w:tc>
      </w:tr>
      <w:tr>
        <w:trPr/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Мережевий комутатор тип 2К</w:t>
            </w:r>
            <w:r/>
          </w:p>
        </w:tc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Мережевий комутатор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Cisco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Catalyst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9200L 24-port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4 x 10G – 2 од</w:t>
            </w:r>
            <w:r/>
          </w:p>
        </w:tc>
      </w:tr>
      <w:tr>
        <w:trPr/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Міжмережевий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екран тип 1К</w:t>
            </w:r>
            <w:r/>
          </w:p>
        </w:tc>
        <w:tc>
          <w:tcPr>
            <w:tcW w:w="45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Міжмережевий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екран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Cisco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Firepower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2130 NGFW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Appliance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1U – 1 од.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Склад послуги «Розгортання ПАК «Безпечна країна», що є предметом закупівлі, не менше ніж:</w:t>
      </w:r>
      <w:r/>
    </w:p>
    <w:tbl>
      <w:tblPr>
        <w:tblStyle w:val="712"/>
        <w:tblW w:w="9072" w:type="dxa"/>
        <w:tblInd w:w="-5" w:type="dxa"/>
        <w:tblLook w:val="04A0" w:firstRow="1" w:lastRow="0" w:firstColumn="1" w:lastColumn="0" w:noHBand="0" w:noVBand="1"/>
      </w:tblPr>
      <w:tblGrid>
        <w:gridCol w:w="669"/>
        <w:gridCol w:w="8403"/>
      </w:tblGrid>
      <w:tr>
        <w:trPr/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з/п</w:t>
            </w:r>
            <w:r/>
          </w:p>
        </w:tc>
        <w:tc>
          <w:tcPr>
            <w:tcW w:w="84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складових Послуги</w:t>
            </w:r>
            <w:r/>
          </w:p>
        </w:tc>
      </w:tr>
      <w:tr>
        <w:trPr/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84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Розгортання ІТ-інфраструктури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Монтаж обладнання:</w:t>
            </w:r>
            <w:r/>
          </w:p>
          <w:p>
            <w:pPr>
              <w:pStyle w:val="710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Дослідження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місця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Інженерних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мереж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охолодження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електроживлення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та СКС</w:t>
            </w:r>
            <w:r/>
          </w:p>
          <w:p>
            <w:pPr>
              <w:pStyle w:val="710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документацією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правилам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маркування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комутації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внутрішнім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вимогам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ЦОД</w:t>
            </w:r>
            <w:r/>
          </w:p>
          <w:p>
            <w:pPr>
              <w:pStyle w:val="710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розміщення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шафах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найкращих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практик</w:t>
            </w:r>
            <w:r/>
          </w:p>
          <w:p>
            <w:pPr>
              <w:pStyle w:val="710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комутація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обладнання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Запуск обладнання:</w:t>
            </w:r>
            <w:r/>
          </w:p>
          <w:p>
            <w:pPr>
              <w:pStyle w:val="71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Діагностика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обладнання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виправлення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помилок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наявності</w:t>
            </w:r>
            <w:r/>
          </w:p>
          <w:p>
            <w:pPr>
              <w:pStyle w:val="710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мікрокодів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Планування та впровадження мережевого сегменту:</w:t>
            </w:r>
            <w:r/>
          </w:p>
          <w:p>
            <w:pPr>
              <w:pStyle w:val="71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документацією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необхідно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здійснити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підключення</w:t>
            </w:r>
            <w:r/>
          </w:p>
          <w:p>
            <w:pPr>
              <w:pStyle w:val="71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розробка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HLD/LLD)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підключення</w:t>
            </w:r>
            <w:r/>
          </w:p>
          <w:p>
            <w:pPr>
              <w:pStyle w:val="71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Оновлення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мікрокодів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обладнання</w:t>
            </w:r>
            <w:r/>
          </w:p>
          <w:p>
            <w:pPr>
              <w:pStyle w:val="71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Розгортання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кластерів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мережевою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інфраструктурою</w:t>
            </w:r>
            <w:r/>
          </w:p>
          <w:p>
            <w:pPr>
              <w:pStyle w:val="710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Розгортання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конфігурування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програмно-визначеної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(Cisco ACI)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ПАК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Безпечна країна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W w:w="84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Розгортання та запуск програмного комплексу Безпечна Країна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Запуск та конфігурування Системи керування інформацією та безпекою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Запуск та конфігурування Системи керування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відеонаглядом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Запуск та конфігурування Системи розпізнавання обличь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Запуск та конфігурування Системи поведінкової аналітики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Запуск та конфігурування Системи аналітики розслідувань</w:t>
            </w:r>
            <w:r/>
          </w:p>
        </w:tc>
      </w:tr>
      <w:tr>
        <w:trPr/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W w:w="84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/>
            <w:bookmarkStart w:id="36" w:name="_Hlk14862182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Додаткова розробка (в межах існуючого програмного забезпечення), згідно затвердженого ТЗ</w:t>
            </w:r>
            <w:bookmarkEnd w:id="3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наскрізна інтеграція аналітичних підсистем (розпізнавання обличь, поведінкової аналітики, аналітики розслідувань) із Системи керування інформацією та безпекою</w:t>
            </w:r>
            <w:r/>
          </w:p>
          <w:p>
            <w:pPr>
              <w:pStyle w:val="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розробка</w:t>
            </w:r>
            <w:r>
              <w:rPr>
                <w:sz w:val="24"/>
                <w:szCs w:val="24"/>
              </w:rPr>
              <w:t xml:space="preserve"> та </w:t>
            </w:r>
            <w:r>
              <w:rPr>
                <w:sz w:val="24"/>
                <w:szCs w:val="24"/>
              </w:rPr>
              <w:t xml:space="preserve">впровадження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рольові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моделі</w:t>
            </w:r>
            <w:r>
              <w:rPr>
                <w:sz w:val="24"/>
                <w:szCs w:val="24"/>
              </w:rPr>
              <w:t xml:space="preserve"> доступу  (</w:t>
            </w:r>
            <w:r>
              <w:rPr>
                <w:sz w:val="24"/>
                <w:szCs w:val="24"/>
              </w:rPr>
              <w:t xml:space="preserve">Ролі</w:t>
            </w:r>
            <w:r>
              <w:rPr>
                <w:sz w:val="24"/>
                <w:szCs w:val="24"/>
              </w:rPr>
              <w:t xml:space="preserve"> та </w:t>
            </w:r>
            <w:r>
              <w:rPr>
                <w:sz w:val="24"/>
                <w:szCs w:val="24"/>
              </w:rPr>
              <w:t xml:space="preserve">їх</w:t>
            </w:r>
            <w:r>
              <w:rPr>
                <w:sz w:val="24"/>
                <w:szCs w:val="24"/>
              </w:rPr>
              <w:t xml:space="preserve"> права доступу до </w:t>
            </w:r>
            <w:r>
              <w:rPr>
                <w:sz w:val="24"/>
                <w:szCs w:val="24"/>
              </w:rPr>
              <w:t xml:space="preserve">окремих</w:t>
            </w:r>
            <w:r>
              <w:rPr>
                <w:sz w:val="24"/>
                <w:szCs w:val="24"/>
              </w:rPr>
              <w:t xml:space="preserve"> систем, </w:t>
            </w:r>
            <w:r>
              <w:rPr>
                <w:sz w:val="24"/>
                <w:szCs w:val="24"/>
              </w:rPr>
              <w:t xml:space="preserve">підсистем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відеопотоків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звітів</w:t>
            </w:r>
            <w:r>
              <w:rPr>
                <w:sz w:val="24"/>
                <w:szCs w:val="24"/>
              </w:rPr>
              <w:t xml:space="preserve"> та </w:t>
            </w:r>
            <w:r>
              <w:rPr>
                <w:sz w:val="24"/>
                <w:szCs w:val="24"/>
              </w:rPr>
              <w:t xml:space="preserve">ін</w:t>
            </w:r>
            <w:r>
              <w:rPr>
                <w:sz w:val="24"/>
                <w:szCs w:val="24"/>
              </w:rPr>
              <w:t xml:space="preserve">.)</w:t>
            </w:r>
            <w:r/>
          </w:p>
        </w:tc>
      </w:tr>
      <w:tr>
        <w:trPr/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W w:w="84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Інтеграція з Програмно-апаратним комплексом Міської інтеграційної платформи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інтеграція має бути проведена на рівні двох ідентичних PSIM систем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інтеграція має включати в себе можливість використання Програмно-апаратного комплексу Міська інтеграційна платформа, як підсистема ПАК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Безпечна країна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регіонального рівня</w:t>
            </w:r>
            <w:r/>
          </w:p>
        </w:tc>
      </w:tr>
      <w:tr>
        <w:trPr/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W w:w="84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Навчання співробітників Замовника:</w:t>
            </w:r>
            <w:r/>
          </w:p>
          <w:p>
            <w:pPr>
              <w:pStyle w:val="710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трьох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операторів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Замовника</w:t>
            </w:r>
            <w:r/>
          </w:p>
          <w:p>
            <w:pPr>
              <w:pStyle w:val="710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трьох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виконавців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Замовника</w:t>
            </w:r>
            <w:r/>
          </w:p>
        </w:tc>
      </w:tr>
      <w:tr>
        <w:trPr/>
        <w:tc>
          <w:tcPr>
            <w:tcW w:w="6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W w:w="840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Вирішення проблем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troubleshooting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підключення сенсорів до ПАК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Безпечна країна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формування списків, правил, звітів (відповідно до вимог Замовника)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консультації співробітників Замовника, що пройшли навчання, щодо роботи ПАК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Безпечна країна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Виправлення помилок, які будуть виникати в процесі першого етапу експлуатації ПАК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Безпечна країна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результаті налаштування модулі та підсистеми повинні бути: </w:t>
      </w:r>
      <w:r/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Функціонально достатніми (повними). </w:t>
      </w:r>
      <w:r/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Надійними (автоматично зберігати всі дані 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коректно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завершувати роботу програм без втрати даних). </w:t>
      </w:r>
      <w:r/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Придатними до модернізації та масштабування. </w:t>
      </w:r>
      <w:r/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Захищеними від зовнішніх впливів.</w:t>
      </w:r>
      <w:r/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/>
    </w:p>
    <w:p>
      <w:pPr>
        <w:pStyle w:val="710"/>
        <w:ind w:left="0" w:right="1" w:firstLine="567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Учасники то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ргів повинні належним чином здійснювати діяльність щодо предмету закупівлі. У зв’язку з цим для належного захисту інтересів Замовника щодо авторизованого та кваліфікованого джерела  постачання Послуги за даними торгами учасники торгів повинні надати копію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авторизаційного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листа про повноваження від виробника або офіційного представництва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Системи керування інформацією та безпекою (Програмна продукція OCTOPUS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SafeCountry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 території України, що підтверджує право учасника торгів на 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остачання послуг у відповідності до позицій предмету закупівлі та  укладання договір про їх постачання на території України із обов’язковим зазначенням найменування та номеру даних торгів, інформації щодо партнерських відносин між виробником обладнання 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учасником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закупівель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У разі надання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авторизаційного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листа від виробника іноземною мовою, цей лист повинен супроводжуватись перекладом на українську мову.</w:t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Учасник, якого визначено переможцем процедури закуп</w:t>
      </w:r>
      <w:r>
        <w:rPr>
          <w:rFonts w:ascii="Times New Roman" w:hAnsi="Times New Roman" w:cs="Times New Roman"/>
          <w:sz w:val="24"/>
          <w:szCs w:val="24"/>
        </w:rPr>
        <w:t xml:space="preserve">івлі, перед укладанням договору проводить експертизу та/або експертну оцінку та/або незалежну оцінку вартості послуг, за результатом аукціону, вказаних в Додатку 5 до тендерної документації та надає Замовнику документ, що підтверджує вартість вказаних посл</w:t>
      </w:r>
      <w:r>
        <w:rPr>
          <w:rFonts w:ascii="Times New Roman" w:hAnsi="Times New Roman" w:cs="Times New Roman"/>
          <w:sz w:val="24"/>
          <w:szCs w:val="24"/>
        </w:rPr>
        <w:t xml:space="preserve">уг.  У разі надання документу, де вартість послуг буде нижча ніж зазначив Учасник за результатом аукціону, Учасник-Переможець укладає разом із договором додаткову угоду на зменшення вартості послуг (надати у складі тендерної документації гарантійний лист).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10 340 433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десять мільйонів триста сорок тисяч чотириста тридцять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Relationship Id="rId12" Type="http://schemas.openxmlformats.org/officeDocument/2006/relationships/hyperlink" Target="https://www.dzo.com.ua/tenders/1722718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143</cp:revision>
  <dcterms:created xsi:type="dcterms:W3CDTF">2022-11-01T12:47:00Z</dcterms:created>
  <dcterms:modified xsi:type="dcterms:W3CDTF">2023-10-30T09:40:49Z</dcterms:modified>
</cp:coreProperties>
</file>