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b w:val="0"/>
          <w:bCs w:val="0"/>
          <w:sz w:val="24"/>
          <w:szCs w:val="24"/>
        </w:rPr>
        <w:t xml:space="preserve">Послуги телефонного зв’язку та передачі даних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020416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rFonts w:ascii="Times New Roman" w:hAnsi="Times New Roman" w:cs="Times New Roman"/>
          <w:sz w:val="24"/>
          <w:szCs w:val="24"/>
        </w:rPr>
        <w:t xml:space="preserve">Послуги телефонного зв’язку та передачі даних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адресами: м. Київ вул. Волинська,  26 – м. Вінниця, вул. 600-річчя, 11,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адресами: м. Київ, вул. Волинська,  26 – м. Вінниця, вул. Театральна, 10,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адресами: м. Київ, вул. Волинська,  26 – м. Вінниця, вул. Пирогова, 46а,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Житомир, вул. Героїв Пожежних, 67б,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Житомир, вул. Старий Бульвар, 5/37, адміністративна будівля № 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Житомир, вул. Покровська, 98в,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Черкаси, вул. Прикордонника Лазаренка, 1,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Черкаси, вул. Смілянська, 57,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Черкаси, вул. Академіка Корольова, 15,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Чернігів, проспект Миру, 190а,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Чернігів, пр. Перемоги, 74,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за адресами м. Київ, вул. Волинська,  26 – м. Чернігів, вул. Шевченко, 160,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Гбіт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/с між будівлями за адресами: м. Київ, вул. Волинська,  26 – м. Львів, вул. Стрийська, 107,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107 - м. Львів, вул. Підвальна, 6,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– м. Львів,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Генерала Григоренка, 3,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– м. Львів, вул. Орлика, 6,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в м. Києві за адресами: вул. Волинська,  26 – вул. Межигірська, 8,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Мбіт/с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між будівлями в м. Києві та м. Біла Церква за адресами: вул. Волинська,  26 – м. Біла Церква, вул.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Водопільна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40,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1" w:name="_Hlk141713597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935"/>
        <w:gridCol w:w="2552"/>
        <w:gridCol w:w="1559"/>
      </w:tblGrid>
      <w:tr>
        <w:trPr>
          <w:jc w:val="center"/>
          <w:trHeight w:val="840"/>
        </w:trPr>
        <w:tc>
          <w:tcPr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49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jc w:val="center"/>
          <w:trHeight w:val="555"/>
        </w:trPr>
        <w:tc>
          <w:tcPr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Використання каналів передачі даних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</w:t>
            </w:r>
            <w:r/>
          </w:p>
        </w:tc>
      </w:tr>
    </w:tbl>
    <w:p>
      <w:pPr>
        <w:ind w:right="-79" w:firstLine="426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End w:id="1"/>
      <w:r/>
    </w:p>
    <w:p>
      <w:pPr>
        <w:pStyle w:val="714"/>
        <w:ind w:left="0"/>
        <w:jc w:val="center"/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та якісні характеристики</w:t>
      </w:r>
      <w:r/>
    </w:p>
    <w:p>
      <w:pPr>
        <w:pStyle w:val="746"/>
        <w:ind w:firstLine="567"/>
        <w:jc w:val="both"/>
        <w:spacing w:before="0" w:beforeAutospacing="0" w:after="60" w:afterAutospacing="0"/>
        <w:shd w:val="clear" w:color="auto" w:fill="ffffff"/>
        <w:rPr>
          <w:lang w:val="uk-UA"/>
        </w:rPr>
      </w:pPr>
      <w:r>
        <w:rPr>
          <w:lang w:val="uk-UA"/>
        </w:rPr>
        <w:t xml:space="preserve">1. Обсяг надання послуги: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адресами: м. Київ вул. Волинська,  26 – м. Вінниця, вул. 600-річчя, 11,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адресами: м. Київ, вул. Волинська,  26 – м. Вінниця, вул. Театральна, 10,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адресами: м. Київ, вул. Волинська,  26 – м. Вінниця, вул. Пирогова, 46а,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Житомир, вул. Героїв Пожежних, 67б,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Житомир, вул. Старий Бульвар, 5/37, адміністративна будівля № 1,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Житомир, вул. Покровська, 98в,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Черкаси, вул. Прикордонника Лазаренка, 1,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Черкаси, вул. Смілянська, 57,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Черкаси, вул. Академіка Корольова, 15,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Чернігів, проспект Миру, 190а,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Чернігів, пр. Перемоги, 74,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Мбіт/с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будівлями за адресами м. Київ, вул. Волинська,  26 – м. Чернігів, вул. Шевченко, 160,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/с між будівлями за адресами: м. Київ, вул. Волинська,  26 – м. Львів, вул. Стрийська, 107,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Мбіт/с між будівлями за адресами: м. Львів, вул. Стрийська, 107 - м. Львів, вул. Підвальна, 6,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Мбіт/с між будівлями за адресами: м. Львів, вул. Стрийська, 107 – м. Львів,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Генерала Григоренка, 3,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Мбіт/с між будівлями за адресами: м. Львів, вул. Стрийська, 107 – м. Львів, вул. Орлика, 6,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Мбіт/с між будівлями в м. Києві за адресами: вул. Волинська,  26 – вул. Межигірська 8,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каналу передачі даних на швидкості 5 Мбіт/с між будівлями в м. Києві та м. Біла Церква за адресами: вул. Волинська,  26 – м. Біла Церква,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Водопільна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40, з подальшим наданням у користування цього каналу передачі даних;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доступність  каналів передачі даних для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технічна підтримка користувачів щодо користування каналами передачі даних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</w:t>
      </w:r>
      <w:r/>
    </w:p>
    <w:p>
      <w:pPr>
        <w:pStyle w:val="714"/>
        <w:numPr>
          <w:ilvl w:val="0"/>
          <w:numId w:val="32"/>
        </w:numPr>
        <w:contextualSpacing w:val="0"/>
        <w:ind w:left="0" w:firstLine="567"/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оперативне усунення технічних проблем зі сторони Виконавця, що призводять до неможливості надання послуги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</w:t>
      </w:r>
      <w:r/>
    </w:p>
    <w:p>
      <w:pPr>
        <w:pStyle w:val="714"/>
        <w:contextualSpacing w:val="0"/>
        <w:ind w:left="567"/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tbl>
      <w:tblPr>
        <w:tblStyle w:val="745"/>
        <w:tblW w:w="9781" w:type="dxa"/>
        <w:tblInd w:w="-147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48"/>
        <w:gridCol w:w="3265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 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(далі – ЗНП)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 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 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 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 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 </w:t>
            </w:r>
            <w:r/>
          </w:p>
        </w:tc>
      </w:tr>
    </w:tbl>
    <w:p>
      <w:pPr>
        <w:pStyle w:val="714"/>
        <w:contextualSpacing w:val="0"/>
        <w:ind w:left="567"/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pStyle w:val="714"/>
        <w:contextualSpacing w:val="0"/>
        <w:ind w:left="567"/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ind w:right="-79" w:firstLine="426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Строк надання послуги – з 01.01.2024 до 31.12.2024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Послуга надається з метою організації каналу передачі даних між окремо розташованими будівлями (надати гарантійний лист).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ніж 3 трьох  днів з дати укладення Договору (надати гарантійний лист).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33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сертифікат відповідності системи управління інформаційною безпекою оператора міжнародному стандарту ISO 27001 (надати скановану копію сертифікату)</w:t>
      </w:r>
      <w:r/>
    </w:p>
    <w:p>
      <w:pPr>
        <w:numPr>
          <w:ilvl w:val="0"/>
          <w:numId w:val="33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 (надати підтвердження).</w:t>
      </w:r>
      <w:r/>
    </w:p>
    <w:p>
      <w:pPr>
        <w:numPr>
          <w:ilvl w:val="0"/>
          <w:numId w:val="33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Завірені копії Наказу та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</w:t>
      </w:r>
      <w:r/>
    </w:p>
    <w:p>
      <w:pPr>
        <w:numPr>
          <w:ilvl w:val="0"/>
          <w:numId w:val="33"/>
        </w:numPr>
        <w:ind w:left="0" w:firstLine="426"/>
        <w:jc w:val="both"/>
        <w:spacing w:after="12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 надання послуг протягом 24 годин на добу 7 днів на тиждень (надати гарантійний лист).</w:t>
      </w:r>
      <w:r/>
    </w:p>
    <w:p>
      <w:pPr>
        <w:numPr>
          <w:ilvl w:val="0"/>
          <w:numId w:val="33"/>
        </w:numPr>
        <w:ind w:left="0" w:firstLine="426"/>
        <w:jc w:val="both"/>
        <w:spacing w:after="12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 (надати гарантійний лист).</w:t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Виконаве</w:t>
      </w:r>
      <w:r>
        <w:rPr>
          <w:rFonts w:ascii="Times New Roman" w:hAnsi="Times New Roman" w:cs="Times New Roman"/>
          <w:sz w:val="24"/>
          <w:szCs w:val="24"/>
        </w:rPr>
        <w:t xml:space="preserve">ць повинен мати власний Центр технічної підтримки, що працює в режимі 24х7х365 (цілодобово (00:00-24:00) з понеділка по неділю включно, 365 днів на рік) з можливістю звернення по телефону або через веб-сайт, або електронну пошту). (надати гарантійний лист)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1 298 500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двісті дев’яносто вісім тисяч п’ятсот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1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5"/>
  </w:num>
  <w:num w:numId="26">
    <w:abstractNumId w:val="19"/>
  </w:num>
  <w:num w:numId="27">
    <w:abstractNumId w:val="24"/>
  </w:num>
  <w:num w:numId="28">
    <w:abstractNumId w:val="16"/>
  </w:num>
  <w:num w:numId="29">
    <w:abstractNumId w:val="25"/>
  </w:num>
  <w:num w:numId="30">
    <w:abstractNumId w:val="13"/>
  </w:num>
  <w:num w:numId="31">
    <w:abstractNumId w:val="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45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6" w:customStyle="1">
    <w:name w:val="rvps6"/>
    <w:basedOn w:val="70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2024-01-02T11:46:44Z</dcterms:modified>
</cp:coreProperties>
</file>